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A7E4" w14:textId="0772D1D5" w:rsidR="00B32B5F" w:rsidRPr="00E93341" w:rsidRDefault="00B32B5F" w:rsidP="00B32B5F">
      <w:pPr>
        <w:pStyle w:val="SemEspaamento"/>
      </w:pPr>
      <w:r>
        <w:rPr>
          <w:noProof/>
        </w:rPr>
        <mc:AlternateContent>
          <mc:Choice Requires="wps">
            <w:drawing>
              <wp:anchor distT="0" distB="0" distL="114300" distR="114300" simplePos="0" relativeHeight="251659264" behindDoc="0" locked="0" layoutInCell="1" allowOverlap="1" wp14:anchorId="6BC99E03" wp14:editId="23636B9F">
                <wp:simplePos x="0" y="0"/>
                <wp:positionH relativeFrom="column">
                  <wp:posOffset>0</wp:posOffset>
                </wp:positionH>
                <wp:positionV relativeFrom="paragraph">
                  <wp:posOffset>0</wp:posOffset>
                </wp:positionV>
                <wp:extent cx="635000" cy="635000"/>
                <wp:effectExtent l="0" t="0" r="3175" b="3175"/>
                <wp:wrapNone/>
                <wp:docPr id="2" name="Caixa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2BB31C" id="_x0000_t202" coordsize="21600,21600" o:spt="202" path="m,l,21600r21600,l21600,xe">
                <v:stroke joinstyle="miter"/>
                <v:path gradientshapeok="t" o:connecttype="rect"/>
              </v:shapetype>
              <v:shape id="Caixa de Texto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30BFC48A" wp14:editId="6D2AD9EF">
                <wp:simplePos x="0" y="0"/>
                <wp:positionH relativeFrom="column">
                  <wp:posOffset>0</wp:posOffset>
                </wp:positionH>
                <wp:positionV relativeFrom="paragraph">
                  <wp:posOffset>0</wp:posOffset>
                </wp:positionV>
                <wp:extent cx="635000" cy="635000"/>
                <wp:effectExtent l="0" t="0" r="3175" b="3175"/>
                <wp:wrapNone/>
                <wp:docPr id="1" name="Caixa de Tex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A7841" id="Caixa de Texto 1"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Palatino Linotype" w:eastAsia="Palatino Linotype" w:hAnsi="Palatino Linotype" w:cs="Palatino Linotype"/>
          <w:b/>
          <w:color w:val="000000"/>
          <w:sz w:val="24"/>
          <w:szCs w:val="24"/>
        </w:rPr>
        <w:t>EXCELENTÍSSIMO SENHOR JUIZ DE DIREITO DA MM.</w:t>
      </w:r>
      <w:r w:rsidR="00B25893">
        <w:rPr>
          <w:rFonts w:ascii="Palatino Linotype" w:eastAsia="Palatino Linotype" w:hAnsi="Palatino Linotype" w:cs="Palatino Linotype"/>
          <w:b/>
          <w:color w:val="000000"/>
          <w:sz w:val="24"/>
          <w:szCs w:val="24"/>
        </w:rPr>
        <w:t xml:space="preserve"> 7ª</w:t>
      </w:r>
      <w:r>
        <w:rPr>
          <w:rFonts w:ascii="Palatino Linotype" w:eastAsia="Palatino Linotype" w:hAnsi="Palatino Linotype" w:cs="Palatino Linotype"/>
          <w:b/>
          <w:color w:val="000000"/>
          <w:sz w:val="24"/>
          <w:szCs w:val="24"/>
        </w:rPr>
        <w:t xml:space="preserve"> VARA FEDERAL CÍVEL DA SEÇÃO JUDICIÁRIA DO DISTRITO FEDERAL</w:t>
      </w:r>
    </w:p>
    <w:p w14:paraId="03ACB3CB" w14:textId="77777777" w:rsidR="00B32B5F" w:rsidRDefault="00B32B5F" w:rsidP="00B32B5F">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sz w:val="24"/>
          <w:szCs w:val="24"/>
        </w:rPr>
      </w:pPr>
    </w:p>
    <w:p w14:paraId="017AE69D" w14:textId="62EDC583" w:rsidR="00B32B5F" w:rsidRDefault="00B32B5F" w:rsidP="00B32B5F">
      <w:pPr>
        <w:ind w:right="674"/>
        <w:rPr>
          <w:rFonts w:ascii="Palatino Linotype" w:eastAsia="Palatino Linotype" w:hAnsi="Palatino Linotype" w:cs="Palatino Linotype"/>
          <w:sz w:val="24"/>
          <w:szCs w:val="24"/>
        </w:rPr>
      </w:pPr>
    </w:p>
    <w:p w14:paraId="04FC9986" w14:textId="4437BAA1" w:rsidR="00B25893" w:rsidRDefault="00B25893" w:rsidP="00B25893">
      <w:pPr>
        <w:pBdr>
          <w:top w:val="nil"/>
          <w:left w:val="nil"/>
          <w:bottom w:val="nil"/>
          <w:right w:val="nil"/>
          <w:between w:val="nil"/>
        </w:pBd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i/>
          <w:color w:val="000000"/>
          <w:sz w:val="24"/>
          <w:szCs w:val="24"/>
        </w:rPr>
        <w:t>Ref.: Processo n. 1023214-51.2022.4.01.3400</w:t>
      </w:r>
    </w:p>
    <w:p w14:paraId="699A5E5A" w14:textId="77777777" w:rsidR="00B25893" w:rsidRDefault="00B25893" w:rsidP="00B25893">
      <w:pPr>
        <w:spacing w:line="360" w:lineRule="auto"/>
        <w:jc w:val="both"/>
        <w:rPr>
          <w:rFonts w:ascii="Palatino Linotype" w:eastAsia="Palatino Linotype" w:hAnsi="Palatino Linotype" w:cs="Palatino Linotype"/>
          <w:i/>
          <w:sz w:val="24"/>
          <w:szCs w:val="24"/>
        </w:rPr>
      </w:pPr>
    </w:p>
    <w:p w14:paraId="640CD787" w14:textId="77777777" w:rsidR="00B25893" w:rsidRDefault="00B25893" w:rsidP="00B25893">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GLEISI HELENA HOFFMANN e OUTROS</w:t>
      </w:r>
      <w:r>
        <w:rPr>
          <w:rFonts w:ascii="Palatino Linotype" w:eastAsia="Palatino Linotype" w:hAnsi="Palatino Linotype" w:cs="Palatino Linotype"/>
          <w:sz w:val="24"/>
          <w:szCs w:val="24"/>
        </w:rPr>
        <w:t xml:space="preserve">, devidamente qualificados nos autos do processo em epígrafe, vem, respeitosamente, por meio de seus advogados subscritos, à presença de Vossa Excelência, apresentar </w:t>
      </w:r>
      <w:r w:rsidRPr="001A5506">
        <w:rPr>
          <w:rFonts w:ascii="Palatino Linotype" w:eastAsia="Palatino Linotype" w:hAnsi="Palatino Linotype" w:cs="Palatino Linotype"/>
          <w:b/>
          <w:bCs/>
          <w:sz w:val="24"/>
          <w:szCs w:val="24"/>
          <w:u w:val="single"/>
        </w:rPr>
        <w:t>PETIÇÃO INCIDENTAL COM PEDIDO DE TUTELA DE URGÊNCIA</w:t>
      </w:r>
      <w:r>
        <w:rPr>
          <w:rFonts w:ascii="Palatino Linotype" w:eastAsia="Palatino Linotype" w:hAnsi="Palatino Linotype" w:cs="Palatino Linotype"/>
          <w:sz w:val="24"/>
          <w:szCs w:val="24"/>
        </w:rPr>
        <w:t>, em caráter excepcional, haja vista o eminente risco de dano ao patrimônio público e perecimento de direito caso não haja o socorro judicial aqui pugnado, conforme passa a expor para, por fim, requerer.</w:t>
      </w:r>
    </w:p>
    <w:p w14:paraId="476D24FE" w14:textId="77777777" w:rsidR="00B32B5F" w:rsidRDefault="00B32B5F" w:rsidP="006B0F62">
      <w:pPr>
        <w:pStyle w:val="PargrafodaLista"/>
        <w:rPr>
          <w:rFonts w:ascii="Palatino Linotype" w:eastAsia="Palatino Linotype" w:hAnsi="Palatino Linotype" w:cs="Palatino Linotype"/>
          <w:sz w:val="24"/>
          <w:szCs w:val="24"/>
        </w:rPr>
      </w:pPr>
    </w:p>
    <w:p w14:paraId="408A938A" w14:textId="1F4ADC78" w:rsidR="00B25893" w:rsidRDefault="00B25893" w:rsidP="00B32B5F">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Cs/>
          <w:sz w:val="24"/>
          <w:szCs w:val="24"/>
        </w:rPr>
        <w:t xml:space="preserve">Trata-se de </w:t>
      </w:r>
      <w:r w:rsidR="00B32B5F">
        <w:rPr>
          <w:rFonts w:ascii="Palatino Linotype" w:eastAsia="Palatino Linotype" w:hAnsi="Palatino Linotype" w:cs="Palatino Linotype"/>
          <w:sz w:val="24"/>
          <w:szCs w:val="24"/>
        </w:rPr>
        <w:t>ação</w:t>
      </w:r>
      <w:r>
        <w:rPr>
          <w:rFonts w:ascii="Palatino Linotype" w:eastAsia="Palatino Linotype" w:hAnsi="Palatino Linotype" w:cs="Palatino Linotype"/>
          <w:sz w:val="24"/>
          <w:szCs w:val="24"/>
        </w:rPr>
        <w:t xml:space="preserve"> popular que</w:t>
      </w:r>
      <w:r w:rsidR="00B32B5F">
        <w:rPr>
          <w:rFonts w:ascii="Palatino Linotype" w:eastAsia="Palatino Linotype" w:hAnsi="Palatino Linotype" w:cs="Palatino Linotype"/>
          <w:sz w:val="24"/>
          <w:szCs w:val="24"/>
        </w:rPr>
        <w:t xml:space="preserve"> tem por objeto</w:t>
      </w:r>
      <w:r>
        <w:rPr>
          <w:rFonts w:ascii="Palatino Linotype" w:eastAsia="Palatino Linotype" w:hAnsi="Palatino Linotype" w:cs="Palatino Linotype"/>
          <w:sz w:val="24"/>
          <w:szCs w:val="24"/>
        </w:rPr>
        <w:t xml:space="preserve"> afastar o iminente dano ao patrimônio público, que será deflagrado com a consolidação da privatização da Eletrobrás aos moldes atuais.</w:t>
      </w:r>
    </w:p>
    <w:p w14:paraId="15F89813" w14:textId="77777777" w:rsidR="00B25893" w:rsidRDefault="00B25893" w:rsidP="006B0F62">
      <w:pPr>
        <w:pStyle w:val="PargrafodaLista"/>
        <w:rPr>
          <w:rFonts w:ascii="Palatino Linotype" w:eastAsia="Palatino Linotype" w:hAnsi="Palatino Linotype" w:cs="Palatino Linotype"/>
          <w:sz w:val="24"/>
          <w:szCs w:val="24"/>
        </w:rPr>
      </w:pPr>
    </w:p>
    <w:p w14:paraId="249000E6" w14:textId="34748734" w:rsidR="00AC7851" w:rsidRDefault="00B32B5F" w:rsidP="00AC7851">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sidR="00B25893">
        <w:rPr>
          <w:rFonts w:ascii="Palatino Linotype" w:eastAsia="Palatino Linotype" w:hAnsi="Palatino Linotype" w:cs="Palatino Linotype"/>
          <w:sz w:val="24"/>
          <w:szCs w:val="24"/>
        </w:rPr>
        <w:t xml:space="preserve">Conforme fora esclarecido na exordial, </w:t>
      </w:r>
      <w:r w:rsidR="003D078D" w:rsidRPr="00AC7851">
        <w:rPr>
          <w:rFonts w:ascii="Palatino Linotype" w:eastAsia="Palatino Linotype" w:hAnsi="Palatino Linotype" w:cs="Palatino Linotype"/>
          <w:sz w:val="24"/>
          <w:szCs w:val="24"/>
        </w:rPr>
        <w:t>o preço do valor adicionado aos novos contratos de geração de energia (VAC)</w:t>
      </w:r>
      <w:r w:rsidR="00AC7851">
        <w:rPr>
          <w:rFonts w:ascii="Palatino Linotype" w:eastAsia="Palatino Linotype" w:hAnsi="Palatino Linotype" w:cs="Palatino Linotype"/>
          <w:sz w:val="24"/>
          <w:szCs w:val="24"/>
        </w:rPr>
        <w:t xml:space="preserve"> -  preço de venda da Eletrobrás -</w:t>
      </w:r>
      <w:r w:rsidR="003D078D" w:rsidRPr="00AC7851">
        <w:rPr>
          <w:rFonts w:ascii="Palatino Linotype" w:eastAsia="Palatino Linotype" w:hAnsi="Palatino Linotype" w:cs="Palatino Linotype"/>
          <w:sz w:val="24"/>
          <w:szCs w:val="24"/>
        </w:rPr>
        <w:t>,</w:t>
      </w:r>
      <w:r w:rsidR="00AC7851">
        <w:rPr>
          <w:rFonts w:ascii="Palatino Linotype" w:eastAsia="Palatino Linotype" w:hAnsi="Palatino Linotype" w:cs="Palatino Linotype"/>
          <w:sz w:val="24"/>
          <w:szCs w:val="24"/>
        </w:rPr>
        <w:t xml:space="preserve"> foi</w:t>
      </w:r>
      <w:r w:rsidR="003D078D" w:rsidRPr="00AC7851">
        <w:rPr>
          <w:rFonts w:ascii="Palatino Linotype" w:eastAsia="Palatino Linotype" w:hAnsi="Palatino Linotype" w:cs="Palatino Linotype"/>
          <w:sz w:val="24"/>
          <w:szCs w:val="24"/>
        </w:rPr>
        <w:t xml:space="preserve"> liquidado em R$ 67.052.502.399,86, </w:t>
      </w:r>
      <w:r w:rsidR="00AC7851">
        <w:rPr>
          <w:rFonts w:ascii="Palatino Linotype" w:eastAsia="Palatino Linotype" w:hAnsi="Palatino Linotype" w:cs="Palatino Linotype"/>
          <w:sz w:val="24"/>
          <w:szCs w:val="24"/>
        </w:rPr>
        <w:t>conforme estabeleceu a Resolução CNPE n. 30/2021.</w:t>
      </w:r>
    </w:p>
    <w:p w14:paraId="437F2CE7" w14:textId="77777777" w:rsidR="00AC7851" w:rsidRDefault="00AC7851" w:rsidP="00AC7851">
      <w:pPr>
        <w:pStyle w:val="PargrafodaLista"/>
        <w:rPr>
          <w:rFonts w:ascii="Palatino Linotype" w:eastAsia="Palatino Linotype" w:hAnsi="Palatino Linotype" w:cs="Palatino Linotype"/>
          <w:sz w:val="24"/>
          <w:szCs w:val="24"/>
        </w:rPr>
      </w:pPr>
    </w:p>
    <w:p w14:paraId="20E45897" w14:textId="5A6EEE15" w:rsidR="003D078D" w:rsidRDefault="00AC7851" w:rsidP="00AC7851">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Entretanto, conforme demonstram os estudos técnicos colacionados a estes autos sob os </w:t>
      </w:r>
      <w:proofErr w:type="spellStart"/>
      <w:r>
        <w:rPr>
          <w:rFonts w:ascii="Palatino Linotype" w:eastAsia="Palatino Linotype" w:hAnsi="Palatino Linotype" w:cs="Palatino Linotype"/>
          <w:sz w:val="24"/>
          <w:szCs w:val="24"/>
        </w:rPr>
        <w:t>IDs</w:t>
      </w:r>
      <w:proofErr w:type="spellEnd"/>
      <w:r>
        <w:rPr>
          <w:rFonts w:ascii="Palatino Linotype" w:eastAsia="Palatino Linotype" w:hAnsi="Palatino Linotype" w:cs="Palatino Linotype"/>
          <w:sz w:val="24"/>
          <w:szCs w:val="24"/>
        </w:rPr>
        <w:t xml:space="preserve"> 1032015250, 1032015252, 1032015256, 1032015256, 102015257 e 1032015260, o valor de liquidação da VAC está</w:t>
      </w:r>
      <w:r w:rsidR="003D078D" w:rsidRPr="00AC7851">
        <w:rPr>
          <w:rFonts w:ascii="Palatino Linotype" w:eastAsia="Palatino Linotype" w:hAnsi="Palatino Linotype" w:cs="Palatino Linotype"/>
          <w:sz w:val="24"/>
          <w:szCs w:val="24"/>
        </w:rPr>
        <w:t xml:space="preserve"> equivocado por adotar medida equivocada para projeção do </w:t>
      </w:r>
      <w:r w:rsidR="003D078D" w:rsidRPr="00E873DB">
        <w:rPr>
          <w:rFonts w:ascii="Palatino Linotype" w:eastAsia="Palatino Linotype" w:hAnsi="Palatino Linotype" w:cs="Palatino Linotype"/>
          <w:b/>
          <w:bCs/>
          <w:sz w:val="24"/>
          <w:szCs w:val="24"/>
          <w:u w:val="single"/>
        </w:rPr>
        <w:t>preço da energia futura</w:t>
      </w:r>
      <w:r w:rsidR="003D078D" w:rsidRPr="00AC7851">
        <w:rPr>
          <w:rFonts w:ascii="Palatino Linotype" w:eastAsia="Palatino Linotype" w:hAnsi="Palatino Linotype" w:cs="Palatino Linotype"/>
          <w:sz w:val="24"/>
          <w:szCs w:val="24"/>
        </w:rPr>
        <w:t xml:space="preserve">, em razão do desprezo do </w:t>
      </w:r>
      <w:r w:rsidR="003D078D" w:rsidRPr="00AC7851">
        <w:rPr>
          <w:rFonts w:ascii="Palatino Linotype" w:eastAsia="Palatino Linotype" w:hAnsi="Palatino Linotype" w:cs="Palatino Linotype"/>
          <w:b/>
          <w:sz w:val="24"/>
          <w:szCs w:val="24"/>
        </w:rPr>
        <w:t>CME – Potência</w:t>
      </w:r>
      <w:r w:rsidR="003D078D" w:rsidRPr="00AC7851">
        <w:rPr>
          <w:rFonts w:ascii="Palatino Linotype" w:eastAsia="Palatino Linotype" w:hAnsi="Palatino Linotype" w:cs="Palatino Linotype"/>
          <w:sz w:val="24"/>
          <w:szCs w:val="24"/>
        </w:rPr>
        <w:t xml:space="preserve"> na medida do Custo Marginal de Expansão, ocasionando uma subavaliação de </w:t>
      </w:r>
      <w:r w:rsidR="003D078D" w:rsidRPr="00AC7851">
        <w:rPr>
          <w:rFonts w:ascii="Palatino Linotype" w:eastAsia="Palatino Linotype" w:hAnsi="Palatino Linotype" w:cs="Palatino Linotype"/>
          <w:b/>
          <w:sz w:val="24"/>
          <w:szCs w:val="24"/>
        </w:rPr>
        <w:t>R$ 46 bilhões</w:t>
      </w:r>
      <w:r w:rsidR="003D078D" w:rsidRPr="00AC7851">
        <w:rPr>
          <w:rFonts w:ascii="Palatino Linotype" w:eastAsia="Palatino Linotype" w:hAnsi="Palatino Linotype" w:cs="Palatino Linotype"/>
          <w:sz w:val="24"/>
          <w:szCs w:val="24"/>
        </w:rPr>
        <w:t xml:space="preserve"> no valor de privatização da Eletrobrás.</w:t>
      </w:r>
    </w:p>
    <w:p w14:paraId="47EAD606" w14:textId="77777777" w:rsidR="00E873DB" w:rsidRDefault="00E873DB" w:rsidP="00E873DB">
      <w:pPr>
        <w:pStyle w:val="PargrafodaLista"/>
        <w:rPr>
          <w:rFonts w:ascii="Palatino Linotype" w:eastAsia="Palatino Linotype" w:hAnsi="Palatino Linotype" w:cs="Palatino Linotype"/>
          <w:sz w:val="24"/>
          <w:szCs w:val="24"/>
        </w:rPr>
      </w:pPr>
    </w:p>
    <w:p w14:paraId="09B0EFFE" w14:textId="77777777" w:rsidR="00E873DB" w:rsidRDefault="00E873DB" w:rsidP="00E873DB">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O preço da energia futura no ambiente de contratação livre foi quantificado na seguinte forma na Resolução CNPE nº 30/2021:</w:t>
      </w:r>
    </w:p>
    <w:p w14:paraId="63F39E2A" w14:textId="77777777" w:rsidR="00E873DB" w:rsidRDefault="00E873DB" w:rsidP="00E873DB">
      <w:pPr>
        <w:pBdr>
          <w:top w:val="nil"/>
          <w:left w:val="nil"/>
          <w:bottom w:val="nil"/>
          <w:right w:val="nil"/>
          <w:between w:val="nil"/>
        </w:pBdr>
        <w:rPr>
          <w:rFonts w:ascii="Palatino Linotype" w:eastAsia="Palatino Linotype" w:hAnsi="Palatino Linotype" w:cs="Palatino Linotype"/>
          <w:color w:val="000000"/>
          <w:sz w:val="24"/>
          <w:szCs w:val="24"/>
        </w:rPr>
      </w:pPr>
    </w:p>
    <w:p w14:paraId="1407A89F" w14:textId="77777777" w:rsidR="00E873DB" w:rsidRDefault="00E873DB" w:rsidP="00E873DB">
      <w:pPr>
        <w:tabs>
          <w:tab w:val="left" w:pos="4140"/>
        </w:tabs>
        <w:spacing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rPr>
        <w:drawing>
          <wp:inline distT="0" distB="0" distL="0" distR="0" wp14:anchorId="43DF1049" wp14:editId="5F80AA8B">
            <wp:extent cx="5772150" cy="1581150"/>
            <wp:effectExtent l="0" t="0" r="0" b="0"/>
            <wp:docPr id="8" name="image5.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5.png" descr="Tabela&#10;&#10;Descrição gerada automaticamente"/>
                    <pic:cNvPicPr preferRelativeResize="0"/>
                  </pic:nvPicPr>
                  <pic:blipFill>
                    <a:blip r:embed="rId8"/>
                    <a:srcRect/>
                    <a:stretch>
                      <a:fillRect/>
                    </a:stretch>
                  </pic:blipFill>
                  <pic:spPr>
                    <a:xfrm>
                      <a:off x="0" y="0"/>
                      <a:ext cx="5772150" cy="1581150"/>
                    </a:xfrm>
                    <a:prstGeom prst="rect">
                      <a:avLst/>
                    </a:prstGeom>
                    <a:ln/>
                  </pic:spPr>
                </pic:pic>
              </a:graphicData>
            </a:graphic>
          </wp:inline>
        </w:drawing>
      </w:r>
    </w:p>
    <w:p w14:paraId="04DC9CCE" w14:textId="77777777" w:rsidR="00E873DB" w:rsidRDefault="00E873DB" w:rsidP="00E873DB">
      <w:pPr>
        <w:numPr>
          <w:ilvl w:val="0"/>
          <w:numId w:val="24"/>
        </w:numPr>
        <w:autoSpaceDE w:val="0"/>
        <w:autoSpaceDN w:val="0"/>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No entanto, a equipe técnica do Tribunal de Contas da União (relatório </w:t>
      </w:r>
      <w:proofErr w:type="spellStart"/>
      <w:r>
        <w:rPr>
          <w:rFonts w:ascii="Palatino Linotype" w:eastAsia="Palatino Linotype" w:hAnsi="Palatino Linotype" w:cs="Palatino Linotype"/>
          <w:color w:val="000000"/>
          <w:sz w:val="24"/>
          <w:szCs w:val="24"/>
        </w:rPr>
        <w:t>SeinfraElétrica</w:t>
      </w:r>
      <w:proofErr w:type="spellEnd"/>
      <w:r>
        <w:rPr>
          <w:rFonts w:ascii="Palatino Linotype" w:eastAsia="Palatino Linotype" w:hAnsi="Palatino Linotype" w:cs="Palatino Linotype"/>
          <w:color w:val="000000"/>
          <w:sz w:val="24"/>
          <w:szCs w:val="24"/>
        </w:rPr>
        <w:t xml:space="preserve"> anexo ao presente) identificou que este cálculo do preço da energia no ambiente de contratação livre está equivocado e </w:t>
      </w:r>
      <w:r>
        <w:rPr>
          <w:rFonts w:ascii="Palatino Linotype" w:eastAsia="Palatino Linotype" w:hAnsi="Palatino Linotype" w:cs="Palatino Linotype"/>
          <w:sz w:val="24"/>
          <w:szCs w:val="24"/>
        </w:rPr>
        <w:t>impôs</w:t>
      </w:r>
      <w:r>
        <w:rPr>
          <w:rFonts w:ascii="Palatino Linotype" w:eastAsia="Palatino Linotype" w:hAnsi="Palatino Linotype" w:cs="Palatino Linotype"/>
          <w:color w:val="000000"/>
          <w:sz w:val="24"/>
          <w:szCs w:val="24"/>
        </w:rPr>
        <w:t xml:space="preserve"> uma subavaliação da VAC em </w:t>
      </w:r>
      <w:r>
        <w:rPr>
          <w:rFonts w:ascii="Palatino Linotype" w:eastAsia="Palatino Linotype" w:hAnsi="Palatino Linotype" w:cs="Palatino Linotype"/>
          <w:b/>
          <w:color w:val="000000"/>
          <w:sz w:val="24"/>
          <w:szCs w:val="24"/>
          <w:u w:val="single"/>
        </w:rPr>
        <w:t>R$</w:t>
      </w:r>
      <w:r>
        <w:rPr>
          <w:rFonts w:ascii="Palatino Linotype" w:eastAsia="Palatino Linotype" w:hAnsi="Palatino Linotype" w:cs="Palatino Linotype"/>
          <w:b/>
          <w:sz w:val="24"/>
          <w:szCs w:val="24"/>
          <w:u w:val="single"/>
        </w:rPr>
        <w:t xml:space="preserve"> </w:t>
      </w:r>
      <w:r>
        <w:rPr>
          <w:rFonts w:ascii="Palatino Linotype" w:eastAsia="Palatino Linotype" w:hAnsi="Palatino Linotype" w:cs="Palatino Linotype"/>
          <w:b/>
          <w:color w:val="000000"/>
          <w:sz w:val="24"/>
          <w:szCs w:val="24"/>
          <w:u w:val="single"/>
        </w:rPr>
        <w:t>46 bilhões</w:t>
      </w:r>
      <w:r>
        <w:rPr>
          <w:rFonts w:ascii="Palatino Linotype" w:eastAsia="Palatino Linotype" w:hAnsi="Palatino Linotype" w:cs="Palatino Linotype"/>
          <w:color w:val="000000"/>
          <w:sz w:val="24"/>
          <w:szCs w:val="24"/>
        </w:rPr>
        <w:t>.</w:t>
      </w:r>
    </w:p>
    <w:p w14:paraId="1E78316D" w14:textId="77777777" w:rsidR="00E873DB" w:rsidRDefault="00E873DB" w:rsidP="00E873DB">
      <w:pPr>
        <w:pStyle w:val="PargrafodaLista"/>
        <w:rPr>
          <w:rFonts w:ascii="Palatino Linotype" w:eastAsia="Palatino Linotype" w:hAnsi="Palatino Linotype" w:cs="Palatino Linotype"/>
          <w:color w:val="000000"/>
          <w:sz w:val="24"/>
          <w:szCs w:val="24"/>
        </w:rPr>
      </w:pPr>
    </w:p>
    <w:p w14:paraId="040CEAFB" w14:textId="163C6DB0" w:rsidR="00E873DB" w:rsidRDefault="00E873DB" w:rsidP="00E873DB">
      <w:pPr>
        <w:numPr>
          <w:ilvl w:val="0"/>
          <w:numId w:val="24"/>
        </w:numPr>
        <w:autoSpaceDE w:val="0"/>
        <w:autoSpaceDN w:val="0"/>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Esta precificação não representa uma verossímil projeção do preço da energia no mercado livre ao longo dos próximos 30 anos porque utiliza cálculo deficitário da medida de CME, </w:t>
      </w:r>
      <w:r>
        <w:rPr>
          <w:rFonts w:ascii="Palatino Linotype" w:eastAsia="Palatino Linotype" w:hAnsi="Palatino Linotype" w:cs="Palatino Linotype"/>
          <w:b/>
          <w:color w:val="000000"/>
          <w:sz w:val="24"/>
          <w:szCs w:val="24"/>
          <w:u w:val="single"/>
        </w:rPr>
        <w:t>de modo a desprezar o CME – Potência</w:t>
      </w:r>
      <w:r>
        <w:rPr>
          <w:rFonts w:ascii="Palatino Linotype" w:eastAsia="Palatino Linotype" w:hAnsi="Palatino Linotype" w:cs="Palatino Linotype"/>
          <w:color w:val="000000"/>
          <w:sz w:val="24"/>
          <w:szCs w:val="24"/>
        </w:rPr>
        <w:t>.</w:t>
      </w:r>
    </w:p>
    <w:p w14:paraId="2748AA51" w14:textId="77777777" w:rsidR="00E873DB" w:rsidRDefault="00E873DB" w:rsidP="00E873DB">
      <w:pPr>
        <w:autoSpaceDE w:val="0"/>
        <w:autoSpaceDN w:val="0"/>
        <w:spacing w:after="0" w:line="360" w:lineRule="auto"/>
        <w:jc w:val="both"/>
        <w:rPr>
          <w:rFonts w:ascii="Palatino Linotype" w:eastAsia="Palatino Linotype" w:hAnsi="Palatino Linotype" w:cs="Palatino Linotype"/>
          <w:color w:val="000000"/>
          <w:sz w:val="24"/>
          <w:szCs w:val="24"/>
        </w:rPr>
      </w:pPr>
    </w:p>
    <w:p w14:paraId="566516BD" w14:textId="2AF0671F" w:rsidR="00E873DB" w:rsidRDefault="00E873DB" w:rsidP="00E873DB">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 CME deve ser calculado a partir de duas grandezas fundamentais : i) 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energia,</w:t>
      </w:r>
      <w:r>
        <w:rPr>
          <w:rFonts w:ascii="Palatino Linotype" w:eastAsia="Palatino Linotype" w:hAnsi="Palatino Linotype" w:cs="Palatino Linotype"/>
          <w:sz w:val="24"/>
          <w:szCs w:val="24"/>
        </w:rPr>
        <w:t xml:space="preserve"> que é a capacidade de realizar o trabalho, ou seja, a capacidade de uma usina de realizar a produção energética, que pode ser medida em KWh ou MWh; e </w:t>
      </w:r>
      <w:proofErr w:type="spellStart"/>
      <w:r>
        <w:rPr>
          <w:rFonts w:ascii="Palatino Linotype" w:eastAsia="Palatino Linotype" w:hAnsi="Palatino Linotype" w:cs="Palatino Linotype"/>
          <w:sz w:val="24"/>
          <w:szCs w:val="24"/>
        </w:rPr>
        <w:t>ii</w:t>
      </w:r>
      <w:proofErr w:type="spellEnd"/>
      <w:r>
        <w:rPr>
          <w:rFonts w:ascii="Palatino Linotype" w:eastAsia="Palatino Linotype" w:hAnsi="Palatino Linotype" w:cs="Palatino Linotype"/>
          <w:sz w:val="24"/>
          <w:szCs w:val="24"/>
        </w:rPr>
        <w:t xml:space="preserve">) a </w:t>
      </w:r>
      <w:r>
        <w:rPr>
          <w:rFonts w:ascii="Palatino Linotype" w:eastAsia="Palatino Linotype" w:hAnsi="Palatino Linotype" w:cs="Palatino Linotype"/>
          <w:b/>
          <w:sz w:val="24"/>
          <w:szCs w:val="24"/>
          <w:u w:val="single"/>
        </w:rPr>
        <w:t>potência,</w:t>
      </w:r>
      <w:r>
        <w:rPr>
          <w:rFonts w:ascii="Palatino Linotype" w:eastAsia="Palatino Linotype" w:hAnsi="Palatino Linotype" w:cs="Palatino Linotype"/>
          <w:sz w:val="24"/>
          <w:szCs w:val="24"/>
        </w:rPr>
        <w:t xml:space="preserve"> que é a capacidade de fornecer uma determinada quantidade de energia em um determinado momento, o que significa ser capaz de produzir a energia naquele momento ou deter meios de armazenamento para fornecimento de energia em determinado momento, podendo ser medida em KW ou MK.</w:t>
      </w:r>
    </w:p>
    <w:p w14:paraId="10630F0D" w14:textId="77777777" w:rsidR="006B0F62" w:rsidRDefault="006B0F62" w:rsidP="006B0F62">
      <w:pPr>
        <w:pStyle w:val="PargrafodaLista"/>
        <w:rPr>
          <w:rFonts w:ascii="Palatino Linotype" w:eastAsia="Palatino Linotype" w:hAnsi="Palatino Linotype" w:cs="Palatino Linotype"/>
          <w:sz w:val="24"/>
          <w:szCs w:val="24"/>
        </w:rPr>
      </w:pPr>
    </w:p>
    <w:p w14:paraId="6CB070F8" w14:textId="6561BC14" w:rsidR="00E873DB" w:rsidRDefault="00E873DB" w:rsidP="00AC7851">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Resolução CNPE n. 30/2021 </w:t>
      </w:r>
      <w:r w:rsidR="00172C00">
        <w:rPr>
          <w:rFonts w:ascii="Palatino Linotype" w:eastAsia="Palatino Linotype" w:hAnsi="Palatino Linotype" w:cs="Palatino Linotype"/>
          <w:sz w:val="24"/>
          <w:szCs w:val="24"/>
        </w:rPr>
        <w:t xml:space="preserve">calcula a energia futura empregando somente o CME – energia, desprezando o CME-Potência e consequentemente a capacidade das usinas hidrelétricas de fornecimento ou meios de armazenamento de energia das </w:t>
      </w:r>
      <w:r w:rsidR="00172C00">
        <w:rPr>
          <w:rFonts w:ascii="Palatino Linotype" w:eastAsia="Palatino Linotype" w:hAnsi="Palatino Linotype" w:cs="Palatino Linotype"/>
          <w:sz w:val="24"/>
          <w:szCs w:val="24"/>
        </w:rPr>
        <w:lastRenderedPageBreak/>
        <w:t xml:space="preserve">usinas, ou seja, desprezando capacidade de fornecimento das </w:t>
      </w:r>
      <w:proofErr w:type="spellStart"/>
      <w:r w:rsidR="00172C00">
        <w:rPr>
          <w:rFonts w:ascii="Palatino Linotype" w:eastAsia="Palatino Linotype" w:hAnsi="Palatino Linotype" w:cs="Palatino Linotype"/>
          <w:sz w:val="24"/>
          <w:szCs w:val="24"/>
        </w:rPr>
        <w:t>UHEs</w:t>
      </w:r>
      <w:proofErr w:type="spellEnd"/>
      <w:r w:rsidR="00172C00">
        <w:rPr>
          <w:rFonts w:ascii="Palatino Linotype" w:eastAsia="Palatino Linotype" w:hAnsi="Palatino Linotype" w:cs="Palatino Linotype"/>
          <w:sz w:val="24"/>
          <w:szCs w:val="24"/>
        </w:rPr>
        <w:t xml:space="preserve"> que podem ser convertidas em ativos financeiros, provocando uma subtração estimada em R$ 46 bilhões do valor total de venda da Eletrobrás!</w:t>
      </w:r>
    </w:p>
    <w:p w14:paraId="1B56460C" w14:textId="77777777" w:rsidR="00172C00" w:rsidRDefault="00172C00" w:rsidP="00172C00">
      <w:pPr>
        <w:autoSpaceDE w:val="0"/>
        <w:autoSpaceDN w:val="0"/>
        <w:spacing w:after="0" w:line="360" w:lineRule="auto"/>
        <w:jc w:val="both"/>
        <w:rPr>
          <w:rFonts w:ascii="Palatino Linotype" w:eastAsia="Palatino Linotype" w:hAnsi="Palatino Linotype" w:cs="Palatino Linotype"/>
          <w:sz w:val="24"/>
          <w:szCs w:val="24"/>
        </w:rPr>
      </w:pPr>
    </w:p>
    <w:p w14:paraId="1BE40D3A" w14:textId="72D19F5D" w:rsidR="00172C00" w:rsidRDefault="00172C00" w:rsidP="00AC7851">
      <w:pPr>
        <w:numPr>
          <w:ilvl w:val="0"/>
          <w:numId w:val="24"/>
        </w:numP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 desprezo pelo CME- Potência foi denunciado pelo e. Ministro do TCU</w:t>
      </w:r>
      <w:r w:rsidR="00526C25">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Vital do Rêgo</w:t>
      </w:r>
      <w:r w:rsidR="00526C25">
        <w:rPr>
          <w:rFonts w:ascii="Palatino Linotype" w:eastAsia="Palatino Linotype" w:hAnsi="Palatino Linotype" w:cs="Palatino Linotype"/>
          <w:sz w:val="24"/>
          <w:szCs w:val="24"/>
        </w:rPr>
        <w:t xml:space="preserve">, que apresentou voto revisor durante a sessão plenária de julgamento do TC n. 008.845/2018-2, </w:t>
      </w:r>
      <w:r w:rsidR="008D3EDC">
        <w:rPr>
          <w:rFonts w:ascii="Palatino Linotype" w:eastAsia="Palatino Linotype" w:hAnsi="Palatino Linotype" w:cs="Palatino Linotype"/>
          <w:sz w:val="24"/>
          <w:szCs w:val="24"/>
        </w:rPr>
        <w:t xml:space="preserve">,a sessão plenária 05/2022, no dia 15.02.2022, </w:t>
      </w:r>
      <w:r w:rsidR="00526C25">
        <w:rPr>
          <w:rFonts w:ascii="Palatino Linotype" w:eastAsia="Palatino Linotype" w:hAnsi="Palatino Linotype" w:cs="Palatino Linotype"/>
          <w:sz w:val="24"/>
          <w:szCs w:val="24"/>
        </w:rPr>
        <w:t>onde sugeriu que se determinasse:</w:t>
      </w:r>
    </w:p>
    <w:p w14:paraId="56EFAF1E" w14:textId="77777777" w:rsidR="00526C25" w:rsidRDefault="00526C25" w:rsidP="00526C25">
      <w:pPr>
        <w:pStyle w:val="PargrafodaLista"/>
        <w:rPr>
          <w:rFonts w:ascii="Palatino Linotype" w:eastAsia="Palatino Linotype" w:hAnsi="Palatino Linotype" w:cs="Palatino Linotype"/>
          <w:sz w:val="24"/>
          <w:szCs w:val="24"/>
        </w:rPr>
      </w:pPr>
    </w:p>
    <w:p w14:paraId="109D9F62" w14:textId="29EE59C8" w:rsidR="00526C25" w:rsidRPr="00526C25" w:rsidRDefault="00526C25" w:rsidP="007C17C3">
      <w:pPr>
        <w:autoSpaceDE w:val="0"/>
        <w:autoSpaceDN w:val="0"/>
        <w:spacing w:after="0" w:line="360" w:lineRule="auto"/>
        <w:ind w:left="2268"/>
        <w:jc w:val="both"/>
        <w:rPr>
          <w:rFonts w:ascii="Palatino Linotype" w:eastAsia="Palatino Linotype" w:hAnsi="Palatino Linotype" w:cs="Palatino Linotype"/>
        </w:rPr>
      </w:pPr>
      <w:r w:rsidRPr="007C17C3">
        <w:rPr>
          <w:rFonts w:ascii="Palatino Linotype" w:eastAsia="Palatino Linotype" w:hAnsi="Palatino Linotype" w:cs="Palatino Linotype"/>
          <w:b/>
          <w:bCs/>
        </w:rPr>
        <w:t xml:space="preserve">[...] </w:t>
      </w:r>
      <w:r w:rsidRPr="00526C25">
        <w:rPr>
          <w:rFonts w:ascii="Palatino Linotype" w:eastAsia="Palatino Linotype" w:hAnsi="Palatino Linotype" w:cs="Palatino Linotype"/>
          <w:b/>
          <w:bCs/>
        </w:rPr>
        <w:t>9.2. determinar</w:t>
      </w:r>
      <w:r w:rsidRPr="00526C25">
        <w:rPr>
          <w:rFonts w:ascii="Palatino Linotype" w:eastAsia="Palatino Linotype" w:hAnsi="Palatino Linotype" w:cs="Palatino Linotype"/>
        </w:rPr>
        <w:t> ao Ministério de Minas e Energia (MME), que, com fundamento no artigo 43, inciso I, da Lei 8.443/1992, c/c o art. 250, inciso II, do Regimento Interno do TCU, e em observância ao disposto no art. 4º da Resolução TCU 315/2020:</w:t>
      </w:r>
    </w:p>
    <w:p w14:paraId="09F83E35" w14:textId="1335D447" w:rsidR="00526C25" w:rsidRPr="00526C25" w:rsidRDefault="00526C25" w:rsidP="007C17C3">
      <w:pPr>
        <w:autoSpaceDE w:val="0"/>
        <w:autoSpaceDN w:val="0"/>
        <w:spacing w:after="0" w:line="360" w:lineRule="auto"/>
        <w:ind w:left="2268"/>
        <w:jc w:val="both"/>
        <w:rPr>
          <w:rFonts w:ascii="Palatino Linotype" w:eastAsia="Palatino Linotype" w:hAnsi="Palatino Linotype" w:cs="Palatino Linotype"/>
        </w:rPr>
      </w:pPr>
      <w:r w:rsidRPr="00526C25">
        <w:rPr>
          <w:rFonts w:ascii="Palatino Linotype" w:eastAsia="Palatino Linotype" w:hAnsi="Palatino Linotype" w:cs="Palatino Linotype"/>
        </w:rPr>
        <w:t xml:space="preserve">9.2.1. atualize os estudos para calcular o valor que será adicionado aos novos contratos de concessão de energia elétrica (VAC) , relativos às </w:t>
      </w:r>
      <w:proofErr w:type="spellStart"/>
      <w:r w:rsidRPr="00526C25">
        <w:rPr>
          <w:rFonts w:ascii="Palatino Linotype" w:eastAsia="Palatino Linotype" w:hAnsi="Palatino Linotype" w:cs="Palatino Linotype"/>
        </w:rPr>
        <w:t>UHEs</w:t>
      </w:r>
      <w:proofErr w:type="spellEnd"/>
      <w:r w:rsidRPr="00526C25">
        <w:rPr>
          <w:rFonts w:ascii="Palatino Linotype" w:eastAsia="Palatino Linotype" w:hAnsi="Palatino Linotype" w:cs="Palatino Linotype"/>
        </w:rPr>
        <w:t xml:space="preserve"> abrangidas pelo art. 2º da Lei 14.182/2021, a fim de adotar, com fundamento no art. 4º, inciso IV, da Lei 9.491/1997, c/c os </w:t>
      </w:r>
      <w:proofErr w:type="spellStart"/>
      <w:r w:rsidRPr="00526C25">
        <w:rPr>
          <w:rFonts w:ascii="Palatino Linotype" w:eastAsia="Palatino Linotype" w:hAnsi="Palatino Linotype" w:cs="Palatino Linotype"/>
        </w:rPr>
        <w:t>arts</w:t>
      </w:r>
      <w:proofErr w:type="spellEnd"/>
      <w:r w:rsidRPr="00526C25">
        <w:rPr>
          <w:rFonts w:ascii="Palatino Linotype" w:eastAsia="Palatino Linotype" w:hAnsi="Palatino Linotype" w:cs="Palatino Linotype"/>
        </w:rPr>
        <w:t xml:space="preserve">. 7º, inciso VI, e 30, do Decreto 2.594/1998, e os </w:t>
      </w:r>
      <w:proofErr w:type="spellStart"/>
      <w:r w:rsidRPr="00526C25">
        <w:rPr>
          <w:rFonts w:ascii="Palatino Linotype" w:eastAsia="Palatino Linotype" w:hAnsi="Palatino Linotype" w:cs="Palatino Linotype"/>
        </w:rPr>
        <w:t>arts</w:t>
      </w:r>
      <w:proofErr w:type="spellEnd"/>
      <w:r w:rsidRPr="00526C25">
        <w:rPr>
          <w:rFonts w:ascii="Palatino Linotype" w:eastAsia="Palatino Linotype" w:hAnsi="Palatino Linotype" w:cs="Palatino Linotype"/>
        </w:rPr>
        <w:t>. 2º, 3º, inciso II, e 4º, incisos III e IV, da Lei 14.182/2021, as medidas necessárias para estimar:</w:t>
      </w:r>
      <w:r w:rsidR="007C17C3" w:rsidRPr="007C17C3">
        <w:rPr>
          <w:rFonts w:ascii="Palatino Linotype" w:eastAsia="Palatino Linotype" w:hAnsi="Palatino Linotype" w:cs="Palatino Linotype"/>
        </w:rPr>
        <w:t xml:space="preserve"> [...]</w:t>
      </w:r>
    </w:p>
    <w:p w14:paraId="1E0C55D8" w14:textId="77777777" w:rsidR="00526C25" w:rsidRPr="00526C25" w:rsidRDefault="00526C25" w:rsidP="007C17C3">
      <w:pPr>
        <w:autoSpaceDE w:val="0"/>
        <w:autoSpaceDN w:val="0"/>
        <w:spacing w:after="0" w:line="360" w:lineRule="auto"/>
        <w:ind w:left="2268"/>
        <w:jc w:val="both"/>
        <w:rPr>
          <w:rFonts w:ascii="Palatino Linotype" w:eastAsia="Palatino Linotype" w:hAnsi="Palatino Linotype" w:cs="Palatino Linotype"/>
          <w:b/>
          <w:bCs/>
        </w:rPr>
      </w:pPr>
      <w:r w:rsidRPr="00526C25">
        <w:rPr>
          <w:rFonts w:ascii="Palatino Linotype" w:eastAsia="Palatino Linotype" w:hAnsi="Palatino Linotype" w:cs="Palatino Linotype"/>
          <w:b/>
          <w:bCs/>
        </w:rPr>
        <w:t xml:space="preserve">9.2.1.4. o preço de energia para o longo prazo, de modo a </w:t>
      </w:r>
      <w:r w:rsidRPr="00526C25">
        <w:rPr>
          <w:rFonts w:ascii="Palatino Linotype" w:eastAsia="Palatino Linotype" w:hAnsi="Palatino Linotype" w:cs="Palatino Linotype"/>
          <w:b/>
          <w:bCs/>
          <w:u w:val="single"/>
        </w:rPr>
        <w:t>garantir o balanço entre oferta e demanda de energia e de potência</w:t>
      </w:r>
      <w:r w:rsidRPr="00526C25">
        <w:rPr>
          <w:rFonts w:ascii="Palatino Linotype" w:eastAsia="Palatino Linotype" w:hAnsi="Palatino Linotype" w:cs="Palatino Linotype"/>
          <w:b/>
          <w:bCs/>
        </w:rPr>
        <w:t xml:space="preserve"> para a expansão de referência do Plano Decenal de Expansão de Energia (PDE) 2030, consoante premissa expressa da metodologia;</w:t>
      </w:r>
    </w:p>
    <w:p w14:paraId="6643ED33" w14:textId="77777777" w:rsidR="00526C25" w:rsidRPr="00AC7851" w:rsidRDefault="00526C25" w:rsidP="00526C25">
      <w:pPr>
        <w:autoSpaceDE w:val="0"/>
        <w:autoSpaceDN w:val="0"/>
        <w:spacing w:after="0" w:line="360" w:lineRule="auto"/>
        <w:jc w:val="both"/>
        <w:rPr>
          <w:rFonts w:ascii="Palatino Linotype" w:eastAsia="Palatino Linotype" w:hAnsi="Palatino Linotype" w:cs="Palatino Linotype"/>
          <w:sz w:val="24"/>
          <w:szCs w:val="24"/>
        </w:rPr>
      </w:pPr>
    </w:p>
    <w:p w14:paraId="73274F67" w14:textId="77777777" w:rsidR="003D078D" w:rsidRDefault="003D078D" w:rsidP="0040264F">
      <w:pPr>
        <w:pStyle w:val="PargrafodaLista"/>
        <w:rPr>
          <w:rFonts w:ascii="Palatino Linotype" w:eastAsia="Palatino Linotype" w:hAnsi="Palatino Linotype" w:cs="Palatino Linotype"/>
          <w:sz w:val="24"/>
          <w:szCs w:val="24"/>
        </w:rPr>
      </w:pPr>
    </w:p>
    <w:p w14:paraId="2FDF3D71" w14:textId="543FB9DD" w:rsidR="008D3EDC" w:rsidRPr="008D3EDC" w:rsidRDefault="008D3EDC" w:rsidP="008D3EDC">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Vale ressaltar que a matéria ainda não foi votada e consolida pelo Tribunal de Contas da União, a próxima sessão plenária que pautará a matéria está agendada para o dia 18.05.2022. No entanto, o apreço da matéria pelo Poder Judiciário não usurpa a competência da Corte de Contas</w:t>
      </w:r>
      <w:r w:rsidR="00E62059">
        <w:rPr>
          <w:rFonts w:ascii="Palatino Linotype" w:eastAsia="Palatino Linotype" w:hAnsi="Palatino Linotype" w:cs="Palatino Linotype"/>
          <w:sz w:val="24"/>
          <w:szCs w:val="24"/>
        </w:rPr>
        <w:t xml:space="preserve"> em respeito ao </w:t>
      </w:r>
      <w:r w:rsidR="00E62059" w:rsidRPr="00E62059">
        <w:rPr>
          <w:rFonts w:ascii="Palatino Linotype" w:eastAsia="Palatino Linotype" w:hAnsi="Palatino Linotype" w:cs="Palatino Linotype"/>
          <w:sz w:val="24"/>
          <w:szCs w:val="24"/>
        </w:rPr>
        <w:t xml:space="preserve">princípio da inafastabilidade </w:t>
      </w:r>
      <w:r w:rsidR="00E62059">
        <w:rPr>
          <w:rFonts w:ascii="Palatino Linotype" w:eastAsia="Palatino Linotype" w:hAnsi="Palatino Linotype" w:cs="Palatino Linotype"/>
          <w:sz w:val="24"/>
          <w:szCs w:val="24"/>
        </w:rPr>
        <w:t xml:space="preserve">que </w:t>
      </w:r>
      <w:r w:rsidR="00E62059" w:rsidRPr="00E62059">
        <w:rPr>
          <w:rFonts w:ascii="Palatino Linotype" w:eastAsia="Palatino Linotype" w:hAnsi="Palatino Linotype" w:cs="Palatino Linotype"/>
          <w:sz w:val="24"/>
          <w:szCs w:val="24"/>
        </w:rPr>
        <w:lastRenderedPageBreak/>
        <w:t xml:space="preserve">assegura que </w:t>
      </w:r>
      <w:r w:rsidR="00E62059" w:rsidRPr="00E62059">
        <w:rPr>
          <w:rFonts w:ascii="Palatino Linotype" w:eastAsia="Palatino Linotype" w:hAnsi="Palatino Linotype" w:cs="Palatino Linotype"/>
          <w:b/>
          <w:bCs/>
          <w:sz w:val="24"/>
          <w:szCs w:val="24"/>
          <w:u w:val="single"/>
        </w:rPr>
        <w:t>o Poder Judiciário não excluirá de sua apreciação lesão ou ameaça a direitos.</w:t>
      </w:r>
    </w:p>
    <w:p w14:paraId="00472BE0" w14:textId="77777777" w:rsidR="008D3EDC" w:rsidRDefault="008D3EDC" w:rsidP="008D3EDC">
      <w:pPr>
        <w:pBdr>
          <w:top w:val="nil"/>
          <w:left w:val="nil"/>
          <w:bottom w:val="nil"/>
          <w:right w:val="nil"/>
          <w:between w:val="nil"/>
        </w:pBdr>
        <w:autoSpaceDE w:val="0"/>
        <w:autoSpaceDN w:val="0"/>
        <w:spacing w:after="0" w:line="360" w:lineRule="auto"/>
        <w:jc w:val="both"/>
        <w:rPr>
          <w:rFonts w:ascii="Palatino Linotype" w:eastAsia="Palatino Linotype" w:hAnsi="Palatino Linotype" w:cs="Palatino Linotype"/>
          <w:sz w:val="24"/>
          <w:szCs w:val="24"/>
        </w:rPr>
      </w:pPr>
    </w:p>
    <w:p w14:paraId="6E86BC35" w14:textId="4BA5798E" w:rsidR="007C17C3" w:rsidRDefault="007C17C3" w:rsidP="003D078D">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Assim, ainda que este d. </w:t>
      </w:r>
      <w:r w:rsidR="006B0F62">
        <w:rPr>
          <w:rFonts w:ascii="Palatino Linotype" w:eastAsia="Palatino Linotype" w:hAnsi="Palatino Linotype" w:cs="Palatino Linotype"/>
          <w:sz w:val="24"/>
          <w:szCs w:val="24"/>
        </w:rPr>
        <w:t xml:space="preserve">Juízo </w:t>
      </w:r>
      <w:r>
        <w:rPr>
          <w:rFonts w:ascii="Palatino Linotype" w:eastAsia="Palatino Linotype" w:hAnsi="Palatino Linotype" w:cs="Palatino Linotype"/>
          <w:sz w:val="24"/>
          <w:szCs w:val="24"/>
        </w:rPr>
        <w:t xml:space="preserve">entenda pelo declínio de competência por alusiva conexão de matéria entre a presente demanda e a </w:t>
      </w:r>
      <w:r w:rsidRPr="007C17C3">
        <w:rPr>
          <w:rFonts w:ascii="Palatino Linotype" w:eastAsia="Palatino Linotype" w:hAnsi="Palatino Linotype" w:cs="Palatino Linotype"/>
          <w:sz w:val="24"/>
          <w:szCs w:val="24"/>
        </w:rPr>
        <w:t>Ação Civil Pública 1021851-29.2022.4.01.3400, ajuizada em 11/4/22, em trâmite pela 16ª VFSJDF</w:t>
      </w:r>
      <w:r w:rsidRPr="00CE5ECA">
        <w:rPr>
          <w:rFonts w:ascii="Palatino Linotype" w:eastAsia="Palatino Linotype" w:hAnsi="Palatino Linotype" w:cs="Palatino Linotype"/>
          <w:b/>
          <w:bCs/>
          <w:sz w:val="24"/>
          <w:szCs w:val="24"/>
          <w:u w:val="single"/>
        </w:rPr>
        <w:t xml:space="preserve">, é mister aclarar que </w:t>
      </w:r>
      <w:r w:rsidR="00CE5ECA" w:rsidRPr="00CE5ECA">
        <w:rPr>
          <w:rFonts w:ascii="Palatino Linotype" w:eastAsia="Palatino Linotype" w:hAnsi="Palatino Linotype" w:cs="Palatino Linotype"/>
          <w:b/>
          <w:bCs/>
          <w:sz w:val="24"/>
          <w:szCs w:val="24"/>
          <w:u w:val="single"/>
        </w:rPr>
        <w:t>a jurisprudência assente do e. STJ estabelece a possibilidade do juízo, ainda que absolutamente incompetente, deferir medidas liminares urgentes, em observância à urgência da demanda, o perecimento do direito e a irreversibilidade do dano</w:t>
      </w:r>
      <w:r w:rsidR="00CE5ECA">
        <w:rPr>
          <w:rFonts w:ascii="Palatino Linotype" w:eastAsia="Palatino Linotype" w:hAnsi="Palatino Linotype" w:cs="Palatino Linotype"/>
          <w:sz w:val="24"/>
          <w:szCs w:val="24"/>
        </w:rPr>
        <w:t>, veja-se:</w:t>
      </w:r>
    </w:p>
    <w:p w14:paraId="245A499E" w14:textId="77777777" w:rsidR="00CE5ECA" w:rsidRDefault="00CE5ECA" w:rsidP="00CE5ECA">
      <w:pPr>
        <w:pBdr>
          <w:top w:val="nil"/>
          <w:left w:val="nil"/>
          <w:bottom w:val="nil"/>
          <w:right w:val="nil"/>
          <w:between w:val="nil"/>
        </w:pBdr>
        <w:autoSpaceDE w:val="0"/>
        <w:autoSpaceDN w:val="0"/>
        <w:spacing w:after="0" w:line="360" w:lineRule="auto"/>
        <w:jc w:val="both"/>
        <w:rPr>
          <w:rFonts w:ascii="Palatino Linotype" w:eastAsia="Palatino Linotype" w:hAnsi="Palatino Linotype" w:cs="Palatino Linotype"/>
          <w:sz w:val="24"/>
          <w:szCs w:val="24"/>
        </w:rPr>
      </w:pPr>
    </w:p>
    <w:p w14:paraId="778A731A" w14:textId="1D32C252" w:rsidR="00544B86" w:rsidRPr="00544B86" w:rsidRDefault="00544B86" w:rsidP="006B0F62">
      <w:pPr>
        <w:pBdr>
          <w:top w:val="nil"/>
          <w:left w:val="nil"/>
          <w:bottom w:val="nil"/>
          <w:right w:val="nil"/>
          <w:between w:val="nil"/>
        </w:pBdr>
        <w:spacing w:line="276" w:lineRule="auto"/>
        <w:ind w:left="2268"/>
        <w:jc w:val="both"/>
        <w:rPr>
          <w:rFonts w:ascii="Palatino Linotype" w:eastAsia="Palatino Linotype" w:hAnsi="Palatino Linotype" w:cs="Palatino Linotype"/>
          <w:b/>
          <w:bCs/>
          <w:u w:val="single"/>
        </w:rPr>
      </w:pPr>
      <w:r w:rsidRPr="00544B86">
        <w:rPr>
          <w:rFonts w:ascii="Palatino Linotype" w:eastAsia="Palatino Linotype" w:hAnsi="Palatino Linotype" w:cs="Palatino Linotype"/>
        </w:rPr>
        <w:t xml:space="preserve">PROCESSUAL CIVIL. MANDADO DE SEGURANÇA JULGADO ORIGINARIAMENTE PORTRIBUNAL DE JUSTIÇA. DECISÃO DENEGATÓRIA. RECURSO ESPECIAL. ERROGROSSEIRO. FUNDAMENTAÇÃO DEFICIENTE. SÚMULA 284/STF. </w:t>
      </w:r>
      <w:r>
        <w:rPr>
          <w:rFonts w:ascii="Palatino Linotype" w:eastAsia="Palatino Linotype" w:hAnsi="Palatino Linotype" w:cs="Palatino Linotype"/>
        </w:rPr>
        <w:t>[...]</w:t>
      </w:r>
      <w:r w:rsidRPr="00544B86">
        <w:rPr>
          <w:rFonts w:ascii="Palatino Linotype" w:eastAsia="Palatino Linotype" w:hAnsi="Palatino Linotype" w:cs="Palatino Linotype"/>
        </w:rPr>
        <w:t xml:space="preserve"> </w:t>
      </w:r>
      <w:r w:rsidRPr="00544B86">
        <w:rPr>
          <w:rFonts w:ascii="Palatino Linotype" w:eastAsia="Palatino Linotype" w:hAnsi="Palatino Linotype" w:cs="Palatino Linotype"/>
          <w:b/>
          <w:bCs/>
          <w:u w:val="single"/>
        </w:rPr>
        <w:t xml:space="preserve">3. O dispositivo não trata, </w:t>
      </w:r>
      <w:proofErr w:type="gramStart"/>
      <w:r w:rsidRPr="00544B86">
        <w:rPr>
          <w:rFonts w:ascii="Palatino Linotype" w:eastAsia="Palatino Linotype" w:hAnsi="Palatino Linotype" w:cs="Palatino Linotype"/>
          <w:b/>
          <w:bCs/>
          <w:u w:val="single"/>
        </w:rPr>
        <w:t>e também</w:t>
      </w:r>
      <w:proofErr w:type="gramEnd"/>
      <w:r w:rsidRPr="00544B86">
        <w:rPr>
          <w:rFonts w:ascii="Palatino Linotype" w:eastAsia="Palatino Linotype" w:hAnsi="Palatino Linotype" w:cs="Palatino Linotype"/>
          <w:b/>
          <w:bCs/>
          <w:u w:val="single"/>
        </w:rPr>
        <w:t xml:space="preserve"> não impossibilita o juiz, ainda que absolutamente incompetente, de deferir medidas de urgência. A norma em destaque, por força dos princípios da economia processual, da instrumentalidade das formas e do aproveitamento dos atos processuais, somente determina que, reconhecendo-se a incompetência do juízo, os atos decisórios serão nulos, devendo ser aproveitado todo e qualquer ato de conteúdo não decisório, evitando-se com isso a necessidade de repetição. Precedente: </w:t>
      </w:r>
      <w:proofErr w:type="spellStart"/>
      <w:r w:rsidRPr="00544B86">
        <w:rPr>
          <w:rFonts w:ascii="Palatino Linotype" w:eastAsia="Palatino Linotype" w:hAnsi="Palatino Linotype" w:cs="Palatino Linotype"/>
          <w:b/>
          <w:bCs/>
          <w:u w:val="single"/>
        </w:rPr>
        <w:t>AgREsp</w:t>
      </w:r>
      <w:proofErr w:type="spellEnd"/>
      <w:r w:rsidRPr="00544B86">
        <w:rPr>
          <w:rFonts w:ascii="Palatino Linotype" w:eastAsia="Palatino Linotype" w:hAnsi="Palatino Linotype" w:cs="Palatino Linotype"/>
          <w:b/>
          <w:bCs/>
          <w:u w:val="single"/>
        </w:rPr>
        <w:t xml:space="preserve"> 1.022.375/PR, de minha relatoria, </w:t>
      </w:r>
      <w:proofErr w:type="spellStart"/>
      <w:r w:rsidRPr="00544B86">
        <w:rPr>
          <w:rFonts w:ascii="Palatino Linotype" w:eastAsia="Palatino Linotype" w:hAnsi="Palatino Linotype" w:cs="Palatino Linotype"/>
          <w:b/>
          <w:bCs/>
          <w:u w:val="single"/>
        </w:rPr>
        <w:t>DJe</w:t>
      </w:r>
      <w:proofErr w:type="spellEnd"/>
      <w:r w:rsidRPr="00544B86">
        <w:rPr>
          <w:rFonts w:ascii="Palatino Linotype" w:eastAsia="Palatino Linotype" w:hAnsi="Palatino Linotype" w:cs="Palatino Linotype"/>
          <w:b/>
          <w:bCs/>
          <w:u w:val="single"/>
        </w:rPr>
        <w:t xml:space="preserve"> 01º.07.11.4. Recurso especial do particular não conhecido. Recurso especial do Estado do Espírito Santo conhecido em parte e, nesta parte, </w:t>
      </w:r>
      <w:proofErr w:type="spellStart"/>
      <w:r w:rsidRPr="00544B86">
        <w:rPr>
          <w:rFonts w:ascii="Palatino Linotype" w:eastAsia="Palatino Linotype" w:hAnsi="Palatino Linotype" w:cs="Palatino Linotype"/>
          <w:b/>
          <w:bCs/>
          <w:u w:val="single"/>
        </w:rPr>
        <w:t>providotão</w:t>
      </w:r>
      <w:proofErr w:type="spellEnd"/>
      <w:r w:rsidRPr="00544B86">
        <w:rPr>
          <w:rFonts w:ascii="Palatino Linotype" w:eastAsia="Palatino Linotype" w:hAnsi="Palatino Linotype" w:cs="Palatino Linotype"/>
          <w:b/>
          <w:bCs/>
          <w:u w:val="single"/>
        </w:rPr>
        <w:t xml:space="preserve"> somente para afastar a multa aplicada com base no art. 538, parágrafo único, do CPC.</w:t>
      </w:r>
    </w:p>
    <w:p w14:paraId="156EB412" w14:textId="07FC5A58" w:rsidR="00544B86" w:rsidRDefault="00544B86" w:rsidP="006B0F62">
      <w:pPr>
        <w:pBdr>
          <w:top w:val="nil"/>
          <w:left w:val="nil"/>
          <w:bottom w:val="nil"/>
          <w:right w:val="nil"/>
          <w:between w:val="nil"/>
        </w:pBdr>
        <w:autoSpaceDE w:val="0"/>
        <w:autoSpaceDN w:val="0"/>
        <w:spacing w:after="0" w:line="276" w:lineRule="auto"/>
        <w:ind w:left="2268"/>
        <w:jc w:val="both"/>
        <w:rPr>
          <w:rFonts w:ascii="Palatino Linotype" w:eastAsia="Palatino Linotype" w:hAnsi="Palatino Linotype" w:cs="Palatino Linotype"/>
        </w:rPr>
      </w:pPr>
      <w:r w:rsidRPr="00544B86">
        <w:rPr>
          <w:rFonts w:ascii="Palatino Linotype" w:eastAsia="Palatino Linotype" w:hAnsi="Palatino Linotype" w:cs="Palatino Linotype"/>
        </w:rPr>
        <w:t xml:space="preserve">(STJ - </w:t>
      </w:r>
      <w:proofErr w:type="spellStart"/>
      <w:r w:rsidRPr="00544B86">
        <w:rPr>
          <w:rFonts w:ascii="Palatino Linotype" w:eastAsia="Palatino Linotype" w:hAnsi="Palatino Linotype" w:cs="Palatino Linotype"/>
        </w:rPr>
        <w:t>REsp</w:t>
      </w:r>
      <w:proofErr w:type="spellEnd"/>
      <w:r w:rsidRPr="00544B86">
        <w:rPr>
          <w:rFonts w:ascii="Palatino Linotype" w:eastAsia="Palatino Linotype" w:hAnsi="Palatino Linotype" w:cs="Palatino Linotype"/>
        </w:rPr>
        <w:t xml:space="preserve">: 1273068 ES 2011/0198332-0, Relator: Ministro CASTRO MEIRA, Data de Julgamento: 01/09/2011, T2 - SEGUNDA TURMA, Data de Publicação: </w:t>
      </w:r>
      <w:proofErr w:type="spellStart"/>
      <w:r w:rsidRPr="00544B86">
        <w:rPr>
          <w:rFonts w:ascii="Palatino Linotype" w:eastAsia="Palatino Linotype" w:hAnsi="Palatino Linotype" w:cs="Palatino Linotype"/>
        </w:rPr>
        <w:t>DJe</w:t>
      </w:r>
      <w:proofErr w:type="spellEnd"/>
      <w:r w:rsidRPr="00544B86">
        <w:rPr>
          <w:rFonts w:ascii="Palatino Linotype" w:eastAsia="Palatino Linotype" w:hAnsi="Palatino Linotype" w:cs="Palatino Linotype"/>
        </w:rPr>
        <w:t xml:space="preserve"> 13/09/2011)</w:t>
      </w:r>
    </w:p>
    <w:p w14:paraId="77229AB0" w14:textId="2320D02E" w:rsidR="003E1974" w:rsidRPr="00544B86" w:rsidRDefault="003E1974" w:rsidP="003E1974">
      <w:pPr>
        <w:pBdr>
          <w:top w:val="nil"/>
          <w:left w:val="nil"/>
          <w:bottom w:val="nil"/>
          <w:right w:val="nil"/>
          <w:between w:val="nil"/>
        </w:pBdr>
        <w:autoSpaceDE w:val="0"/>
        <w:autoSpaceDN w:val="0"/>
        <w:spacing w:after="0" w:line="360" w:lineRule="auto"/>
        <w:ind w:left="2268"/>
        <w:jc w:val="right"/>
        <w:rPr>
          <w:rFonts w:ascii="Palatino Linotype" w:eastAsia="Palatino Linotype" w:hAnsi="Palatino Linotype" w:cs="Palatino Linotype"/>
        </w:rPr>
      </w:pPr>
      <w:r>
        <w:rPr>
          <w:rFonts w:ascii="Palatino Linotype" w:eastAsia="Palatino Linotype" w:hAnsi="Palatino Linotype" w:cs="Palatino Linotype"/>
        </w:rPr>
        <w:t>- Grifo nosso.</w:t>
      </w:r>
    </w:p>
    <w:p w14:paraId="063826F9" w14:textId="5D28CB16" w:rsidR="003E1974" w:rsidRPr="003E1974" w:rsidRDefault="003E1974" w:rsidP="003D078D">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b/>
          <w:bCs/>
          <w:sz w:val="24"/>
          <w:szCs w:val="24"/>
          <w:u w:val="single"/>
        </w:rPr>
      </w:pPr>
      <w:r w:rsidRPr="003E1974">
        <w:rPr>
          <w:rFonts w:ascii="Palatino Linotype" w:eastAsia="Palatino Linotype" w:hAnsi="Palatino Linotype" w:cs="Palatino Linotype"/>
          <w:b/>
          <w:bCs/>
          <w:sz w:val="24"/>
          <w:szCs w:val="24"/>
          <w:u w:val="single"/>
        </w:rPr>
        <w:t xml:space="preserve">Desta forma, reitera-se o caráter urgente e a necessidade imprescindível de se obter socorro judicial para suspender imediatamente a validade da Resolução CNPE </w:t>
      </w:r>
      <w:r w:rsidRPr="003E1974">
        <w:rPr>
          <w:rFonts w:ascii="Palatino Linotype" w:eastAsia="Palatino Linotype" w:hAnsi="Palatino Linotype" w:cs="Palatino Linotype"/>
          <w:b/>
          <w:bCs/>
          <w:sz w:val="24"/>
          <w:szCs w:val="24"/>
          <w:u w:val="single"/>
        </w:rPr>
        <w:lastRenderedPageBreak/>
        <w:t>n. 30/2021, pois o referido ato administrativo impõe a privatização da maior estatal brasileira com o prejuízo financeiro avaliado em R$ 46 bilhões</w:t>
      </w:r>
      <w:r w:rsidR="006B0F62">
        <w:rPr>
          <w:rFonts w:ascii="Palatino Linotype" w:eastAsia="Palatino Linotype" w:hAnsi="Palatino Linotype" w:cs="Palatino Linotype"/>
          <w:b/>
          <w:bCs/>
          <w:sz w:val="24"/>
          <w:szCs w:val="24"/>
          <w:u w:val="single"/>
        </w:rPr>
        <w:t>.</w:t>
      </w:r>
    </w:p>
    <w:p w14:paraId="7E417298" w14:textId="77777777" w:rsidR="003E1974" w:rsidRDefault="003E1974" w:rsidP="003E1974">
      <w:pPr>
        <w:pBdr>
          <w:top w:val="nil"/>
          <w:left w:val="nil"/>
          <w:bottom w:val="nil"/>
          <w:right w:val="nil"/>
          <w:between w:val="nil"/>
        </w:pBdr>
        <w:autoSpaceDE w:val="0"/>
        <w:autoSpaceDN w:val="0"/>
        <w:spacing w:after="0" w:line="360" w:lineRule="auto"/>
        <w:jc w:val="both"/>
        <w:rPr>
          <w:rFonts w:ascii="Palatino Linotype" w:eastAsia="Palatino Linotype" w:hAnsi="Palatino Linotype" w:cs="Palatino Linotype"/>
          <w:sz w:val="24"/>
          <w:szCs w:val="24"/>
        </w:rPr>
      </w:pPr>
    </w:p>
    <w:p w14:paraId="461E0540" w14:textId="4F4AA3D9" w:rsidR="003D078D" w:rsidRDefault="003E1974" w:rsidP="003D078D">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 possível observar que as m</w:t>
      </w:r>
      <w:r w:rsidR="003D078D">
        <w:rPr>
          <w:rFonts w:ascii="Palatino Linotype" w:eastAsia="Palatino Linotype" w:hAnsi="Palatino Linotype" w:cs="Palatino Linotype"/>
          <w:sz w:val="24"/>
          <w:szCs w:val="24"/>
        </w:rPr>
        <w:t xml:space="preserve">edidas e precificação previstas na Resolução CNPE nº 30, de 21 de agosto de 2021, </w:t>
      </w:r>
      <w:r>
        <w:rPr>
          <w:rFonts w:ascii="Palatino Linotype" w:eastAsia="Palatino Linotype" w:hAnsi="Palatino Linotype" w:cs="Palatino Linotype"/>
          <w:sz w:val="24"/>
          <w:szCs w:val="24"/>
        </w:rPr>
        <w:t>padecem de</w:t>
      </w:r>
      <w:r w:rsidR="003D078D">
        <w:rPr>
          <w:rFonts w:ascii="Palatino Linotype" w:eastAsia="Palatino Linotype" w:hAnsi="Palatino Linotype" w:cs="Palatino Linotype"/>
          <w:sz w:val="24"/>
          <w:szCs w:val="24"/>
        </w:rPr>
        <w:t xml:space="preserve"> </w:t>
      </w:r>
      <w:r w:rsidR="003D078D" w:rsidRPr="00A16C5D">
        <w:rPr>
          <w:rFonts w:ascii="Palatino Linotype" w:eastAsia="Palatino Linotype" w:hAnsi="Palatino Linotype" w:cs="Palatino Linotype"/>
          <w:sz w:val="24"/>
          <w:szCs w:val="24"/>
        </w:rPr>
        <w:t>vício de validade</w:t>
      </w:r>
      <w:r w:rsidR="003D078D">
        <w:rPr>
          <w:rFonts w:ascii="Palatino Linotype" w:eastAsia="Palatino Linotype" w:hAnsi="Palatino Linotype" w:cs="Palatino Linotype"/>
          <w:sz w:val="24"/>
          <w:szCs w:val="24"/>
        </w:rPr>
        <w:t>, sendo precedido de motivação/fundamento administrativo incorreto e desconexo com a realidade e, ainda, emanados em afronta aos princípios da moralidade, legalidade e impessoalidade, violando diretamente a disposição do art. 37, da Constituição Federal</w:t>
      </w:r>
      <w:r>
        <w:rPr>
          <w:rFonts w:ascii="Palatino Linotype" w:eastAsia="Palatino Linotype" w:hAnsi="Palatino Linotype" w:cs="Palatino Linotype"/>
          <w:sz w:val="24"/>
          <w:szCs w:val="24"/>
        </w:rPr>
        <w:t>, pois toda a resolução baseia-se em cálculo que despreza o CME-Potência das usinas e, portanto, é baseada em vício na origem que implicará em prejuízo financeiro gigantesco aos cofres públicos.</w:t>
      </w:r>
    </w:p>
    <w:p w14:paraId="08BC3235" w14:textId="77777777" w:rsidR="003D078D" w:rsidRDefault="003D078D" w:rsidP="003D078D">
      <w:pPr>
        <w:pStyle w:val="PargrafodaLista"/>
        <w:rPr>
          <w:rFonts w:ascii="Palatino Linotype" w:eastAsia="Palatino Linotype" w:hAnsi="Palatino Linotype" w:cs="Palatino Linotype"/>
          <w:sz w:val="24"/>
          <w:szCs w:val="24"/>
        </w:rPr>
      </w:pPr>
    </w:p>
    <w:p w14:paraId="673F1310" w14:textId="77777777" w:rsidR="003D078D" w:rsidRPr="0040264F" w:rsidRDefault="003D078D" w:rsidP="003D078D">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bCs/>
          <w:sz w:val="24"/>
          <w:szCs w:val="24"/>
        </w:rPr>
      </w:pPr>
      <w:r w:rsidRPr="0040264F">
        <w:rPr>
          <w:rFonts w:ascii="Palatino Linotype" w:eastAsia="Palatino Linotype" w:hAnsi="Palatino Linotype" w:cs="Palatino Linotype"/>
          <w:sz w:val="24"/>
          <w:szCs w:val="24"/>
          <w:lang w:bidi="pt-BR"/>
        </w:rPr>
        <w:t>E</w:t>
      </w:r>
      <w:r w:rsidRPr="0040264F">
        <w:rPr>
          <w:rFonts w:ascii="Palatino Linotype" w:eastAsia="Palatino Linotype" w:hAnsi="Palatino Linotype" w:cs="Palatino Linotype"/>
          <w:bCs/>
          <w:sz w:val="24"/>
          <w:szCs w:val="24"/>
        </w:rPr>
        <w:t>, diante disso, não se roga aqui pela interferência judicial na liberalidade político-administrativa de privatizar ou não a empresa pública, pede-se tão somente que seja observado, com rigor, o trâmite administrativo e técnico já estabelecido para cálculo dos parâmetros que irão interferir diretamente no valor de venda da Eletrobrás. Não sendo justificativa plausível a celeridade da privatização, quando esta celeridade pode implicar na perda de patrimônio público de bilhões reais.</w:t>
      </w:r>
    </w:p>
    <w:p w14:paraId="79CB2A3F" w14:textId="77777777" w:rsidR="003D078D" w:rsidRDefault="003D078D" w:rsidP="003D078D">
      <w:pPr>
        <w:pStyle w:val="PargrafodaLista"/>
        <w:rPr>
          <w:rFonts w:ascii="Palatino Linotype" w:eastAsia="Palatino Linotype" w:hAnsi="Palatino Linotype" w:cs="Palatino Linotype"/>
          <w:sz w:val="24"/>
          <w:szCs w:val="24"/>
        </w:rPr>
      </w:pPr>
    </w:p>
    <w:p w14:paraId="0220A023" w14:textId="2D568A4C" w:rsidR="003D078D" w:rsidRPr="00E3697A" w:rsidRDefault="003D078D" w:rsidP="003D078D">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sz w:val="24"/>
          <w:szCs w:val="24"/>
        </w:rPr>
      </w:pPr>
      <w:r w:rsidRPr="00E3697A">
        <w:rPr>
          <w:rFonts w:ascii="Palatino Linotype" w:eastAsia="Palatino Linotype" w:hAnsi="Palatino Linotype" w:cs="Palatino Linotype"/>
          <w:sz w:val="24"/>
          <w:szCs w:val="24"/>
        </w:rPr>
        <w:t xml:space="preserve">Necessário, portanto, que se obtenha </w:t>
      </w:r>
      <w:proofErr w:type="spellStart"/>
      <w:r w:rsidR="0040264F">
        <w:rPr>
          <w:rFonts w:ascii="Palatino Linotype" w:eastAsia="Palatino Linotype" w:hAnsi="Palatino Linotype" w:cs="Palatino Linotype"/>
          <w:sz w:val="24"/>
          <w:szCs w:val="24"/>
        </w:rPr>
        <w:t>imadiata</w:t>
      </w:r>
      <w:proofErr w:type="spellEnd"/>
      <w:r w:rsidRPr="00E3697A">
        <w:rPr>
          <w:rFonts w:ascii="Palatino Linotype" w:eastAsia="Palatino Linotype" w:hAnsi="Palatino Linotype" w:cs="Palatino Linotype"/>
          <w:sz w:val="24"/>
          <w:szCs w:val="24"/>
        </w:rPr>
        <w:t xml:space="preserve"> ordem judicial antecipada para determinar a </w:t>
      </w:r>
      <w:r w:rsidRPr="00E3697A">
        <w:rPr>
          <w:rFonts w:ascii="Palatino Linotype" w:eastAsia="Palatino Linotype" w:hAnsi="Palatino Linotype" w:cs="Palatino Linotype"/>
          <w:b/>
          <w:bCs/>
          <w:sz w:val="24"/>
          <w:szCs w:val="24"/>
          <w:u w:val="single"/>
        </w:rPr>
        <w:t>imediata suspensão da validade da Resolução CNPE nº 30, de 21 de agosto de 2021, de modo a determinar a realização de novo cálculo da VAC, com a inclusão das reservas de potência – CME Potência - no cálculo do CME, impondo o recálculo do preço da energia futura dos próximos 30 anos.</w:t>
      </w:r>
    </w:p>
    <w:p w14:paraId="38AC0BE6" w14:textId="77777777" w:rsidR="003D078D" w:rsidRDefault="003D078D" w:rsidP="0040264F">
      <w:pPr>
        <w:pStyle w:val="PargrafodaLista"/>
        <w:rPr>
          <w:rFonts w:ascii="Palatino Linotype" w:eastAsia="Palatino Linotype" w:hAnsi="Palatino Linotype" w:cs="Palatino Linotype"/>
          <w:sz w:val="24"/>
          <w:szCs w:val="24"/>
        </w:rPr>
      </w:pPr>
    </w:p>
    <w:p w14:paraId="2F175F17" w14:textId="77777777" w:rsidR="008D3EDC" w:rsidRDefault="003D078D" w:rsidP="008D3EDC">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Presentes, portanto, </w:t>
      </w:r>
      <w:r w:rsidRPr="00E3697A">
        <w:rPr>
          <w:rFonts w:ascii="Palatino Linotype" w:eastAsia="Palatino Linotype" w:hAnsi="Palatino Linotype" w:cs="Palatino Linotype"/>
          <w:sz w:val="24"/>
          <w:szCs w:val="24"/>
        </w:rPr>
        <w:t>(i)</w:t>
      </w:r>
      <w:r>
        <w:rPr>
          <w:rFonts w:ascii="Palatino Linotype" w:eastAsia="Palatino Linotype" w:hAnsi="Palatino Linotype" w:cs="Palatino Linotype"/>
          <w:sz w:val="24"/>
          <w:szCs w:val="24"/>
        </w:rPr>
        <w:t xml:space="preserve"> a probabilidade de direito; uma vez que os relatórios técnicos da </w:t>
      </w:r>
      <w:proofErr w:type="spellStart"/>
      <w:r>
        <w:rPr>
          <w:rFonts w:ascii="Palatino Linotype" w:eastAsia="Palatino Linotype" w:hAnsi="Palatino Linotype" w:cs="Palatino Linotype"/>
          <w:sz w:val="24"/>
          <w:szCs w:val="24"/>
        </w:rPr>
        <w:t>SeinfraElétrica</w:t>
      </w:r>
      <w:proofErr w:type="spellEnd"/>
      <w:r w:rsidR="0040264F">
        <w:rPr>
          <w:rFonts w:ascii="Palatino Linotype" w:eastAsia="Palatino Linotype" w:hAnsi="Palatino Linotype" w:cs="Palatino Linotype"/>
          <w:sz w:val="24"/>
          <w:szCs w:val="24"/>
        </w:rPr>
        <w:t xml:space="preserve">-TCU </w:t>
      </w:r>
      <w:r>
        <w:rPr>
          <w:rFonts w:ascii="Palatino Linotype" w:eastAsia="Palatino Linotype" w:hAnsi="Palatino Linotype" w:cs="Palatino Linotype"/>
          <w:sz w:val="24"/>
          <w:szCs w:val="24"/>
        </w:rPr>
        <w:t xml:space="preserve">e </w:t>
      </w:r>
      <w:r w:rsidRPr="00C51343">
        <w:rPr>
          <w:rFonts w:ascii="Palatino Linotype" w:eastAsia="Palatino Linotype" w:hAnsi="Palatino Linotype" w:cs="Palatino Linotype"/>
          <w:sz w:val="24"/>
          <w:szCs w:val="24"/>
        </w:rPr>
        <w:t>NOTA TÉCNICA EPE-DEE-NT-082/2020</w:t>
      </w:r>
      <w:r>
        <w:rPr>
          <w:rFonts w:ascii="Palatino Linotype" w:eastAsia="Palatino Linotype" w:hAnsi="Palatino Linotype" w:cs="Palatino Linotype"/>
          <w:sz w:val="24"/>
          <w:szCs w:val="24"/>
        </w:rPr>
        <w:t xml:space="preserve">, reafirmam que é indispensável considerar as reservas de potência das usinas para calcular corretamente o CME das </w:t>
      </w:r>
      <w:proofErr w:type="spellStart"/>
      <w:r>
        <w:rPr>
          <w:rFonts w:ascii="Palatino Linotype" w:eastAsia="Palatino Linotype" w:hAnsi="Palatino Linotype" w:cs="Palatino Linotype"/>
          <w:sz w:val="24"/>
          <w:szCs w:val="24"/>
        </w:rPr>
        <w:t>UHEs</w:t>
      </w:r>
      <w:proofErr w:type="spellEnd"/>
      <w:r>
        <w:rPr>
          <w:rFonts w:ascii="Palatino Linotype" w:eastAsia="Palatino Linotype" w:hAnsi="Palatino Linotype" w:cs="Palatino Linotype"/>
          <w:sz w:val="24"/>
          <w:szCs w:val="24"/>
        </w:rPr>
        <w:t xml:space="preserve"> e preço de energia futura, o que interfere </w:t>
      </w:r>
      <w:r>
        <w:rPr>
          <w:rFonts w:ascii="Palatino Linotype" w:eastAsia="Palatino Linotype" w:hAnsi="Palatino Linotype" w:cs="Palatino Linotype"/>
          <w:sz w:val="24"/>
          <w:szCs w:val="24"/>
        </w:rPr>
        <w:lastRenderedPageBreak/>
        <w:t xml:space="preserve">diretamente na precificação da Eletrobrás; </w:t>
      </w:r>
      <w:r w:rsidRPr="00E3697A">
        <w:rPr>
          <w:rFonts w:ascii="Palatino Linotype" w:eastAsia="Palatino Linotype" w:hAnsi="Palatino Linotype" w:cs="Palatino Linotype"/>
          <w:sz w:val="24"/>
          <w:szCs w:val="24"/>
        </w:rPr>
        <w:t>(</w:t>
      </w:r>
      <w:proofErr w:type="spellStart"/>
      <w:r w:rsidRPr="00E3697A">
        <w:rPr>
          <w:rFonts w:ascii="Palatino Linotype" w:eastAsia="Palatino Linotype" w:hAnsi="Palatino Linotype" w:cs="Palatino Linotype"/>
          <w:sz w:val="24"/>
          <w:szCs w:val="24"/>
        </w:rPr>
        <w:t>ii</w:t>
      </w:r>
      <w:proofErr w:type="spellEnd"/>
      <w:r w:rsidRPr="00E3697A">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o perigo de dano e risco ao resultado útil do processo, haja vista que, se não houver a suspensão da validade jurídica da Resolução CNPE n. 30/2021 e determinação de novo cálculo da VAC, a privatização da Eletrobrás se consolidará tornando irreversível o dano ao patrimônio público</w:t>
      </w:r>
      <w:r w:rsidR="0040264F">
        <w:rPr>
          <w:rFonts w:ascii="Palatino Linotype" w:eastAsia="Palatino Linotype" w:hAnsi="Palatino Linotype" w:cs="Palatino Linotype"/>
          <w:sz w:val="24"/>
          <w:szCs w:val="24"/>
        </w:rPr>
        <w:t>.</w:t>
      </w:r>
    </w:p>
    <w:p w14:paraId="2EA7D09F" w14:textId="77777777" w:rsidR="008D3EDC" w:rsidRDefault="008D3EDC" w:rsidP="008D3EDC">
      <w:pPr>
        <w:pStyle w:val="PargrafodaLista"/>
        <w:rPr>
          <w:rFonts w:ascii="Palatino Linotype" w:eastAsia="Palatino Linotype" w:hAnsi="Palatino Linotype" w:cs="Palatino Linotype"/>
          <w:sz w:val="24"/>
          <w:szCs w:val="24"/>
        </w:rPr>
      </w:pPr>
    </w:p>
    <w:p w14:paraId="3CA8492A" w14:textId="20D33EB5" w:rsidR="003D078D" w:rsidRPr="008D3EDC" w:rsidRDefault="003D078D" w:rsidP="008D3EDC">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sz w:val="24"/>
          <w:szCs w:val="24"/>
        </w:rPr>
      </w:pPr>
      <w:r w:rsidRPr="008D3EDC">
        <w:rPr>
          <w:rFonts w:ascii="Palatino Linotype" w:eastAsia="Palatino Linotype" w:hAnsi="Palatino Linotype" w:cs="Palatino Linotype"/>
          <w:sz w:val="24"/>
          <w:szCs w:val="24"/>
        </w:rPr>
        <w:t>Diante o exposto, os Autores</w:t>
      </w:r>
      <w:r w:rsidR="008D3EDC">
        <w:rPr>
          <w:rFonts w:ascii="Palatino Linotype" w:eastAsia="Palatino Linotype" w:hAnsi="Palatino Linotype" w:cs="Palatino Linotype"/>
          <w:sz w:val="24"/>
          <w:szCs w:val="24"/>
        </w:rPr>
        <w:t xml:space="preserve"> requerem, em caráter excepcional e urgente a </w:t>
      </w:r>
      <w:r w:rsidRPr="008D3EDC">
        <w:rPr>
          <w:rFonts w:ascii="Palatino Linotype" w:eastAsia="Palatino Linotype" w:hAnsi="Palatino Linotype" w:cs="Palatino Linotype"/>
          <w:b/>
          <w:color w:val="000000"/>
          <w:sz w:val="24"/>
          <w:szCs w:val="24"/>
          <w:u w:val="single"/>
        </w:rPr>
        <w:t xml:space="preserve">concessão da medida liminar </w:t>
      </w:r>
      <w:r w:rsidRPr="008D3EDC">
        <w:rPr>
          <w:rFonts w:ascii="Palatino Linotype" w:eastAsia="Palatino Linotype" w:hAnsi="Palatino Linotype" w:cs="Palatino Linotype"/>
          <w:b/>
          <w:i/>
          <w:color w:val="000000"/>
          <w:sz w:val="24"/>
          <w:szCs w:val="24"/>
          <w:u w:val="single"/>
        </w:rPr>
        <w:t xml:space="preserve">initio litis et inaudita altera </w:t>
      </w:r>
      <w:proofErr w:type="spellStart"/>
      <w:r w:rsidRPr="008D3EDC">
        <w:rPr>
          <w:rFonts w:ascii="Palatino Linotype" w:eastAsia="Palatino Linotype" w:hAnsi="Palatino Linotype" w:cs="Palatino Linotype"/>
          <w:b/>
          <w:i/>
          <w:color w:val="000000"/>
          <w:sz w:val="24"/>
          <w:szCs w:val="24"/>
          <w:u w:val="single"/>
        </w:rPr>
        <w:t>pars</w:t>
      </w:r>
      <w:proofErr w:type="spellEnd"/>
      <w:r w:rsidRPr="008D3EDC">
        <w:rPr>
          <w:rFonts w:ascii="Palatino Linotype" w:eastAsia="Palatino Linotype" w:hAnsi="Palatino Linotype" w:cs="Palatino Linotype"/>
          <w:b/>
          <w:color w:val="000000"/>
          <w:sz w:val="24"/>
          <w:szCs w:val="24"/>
          <w:u w:val="single"/>
        </w:rPr>
        <w:t>, na forma do artigo 300, do Código de Processo Civil</w:t>
      </w:r>
      <w:r w:rsidRPr="008D3EDC">
        <w:rPr>
          <w:rFonts w:ascii="Palatino Linotype" w:eastAsia="Palatino Linotype" w:hAnsi="Palatino Linotype" w:cs="Palatino Linotype"/>
          <w:b/>
          <w:color w:val="000000"/>
          <w:sz w:val="24"/>
          <w:szCs w:val="24"/>
        </w:rPr>
        <w:t xml:space="preserve">, </w:t>
      </w:r>
      <w:r w:rsidRPr="008D3EDC">
        <w:rPr>
          <w:rFonts w:ascii="Palatino Linotype" w:eastAsia="Palatino Linotype" w:hAnsi="Palatino Linotype" w:cs="Palatino Linotype"/>
          <w:b/>
          <w:color w:val="000000"/>
          <w:sz w:val="24"/>
          <w:szCs w:val="24"/>
          <w:u w:val="single"/>
        </w:rPr>
        <w:t xml:space="preserve">determinando </w:t>
      </w:r>
      <w:r w:rsidRPr="008D3EDC">
        <w:rPr>
          <w:rFonts w:ascii="Palatino Linotype" w:eastAsia="Palatino Linotype" w:hAnsi="Palatino Linotype" w:cs="Palatino Linotype"/>
          <w:b/>
          <w:bCs/>
          <w:sz w:val="24"/>
          <w:szCs w:val="24"/>
          <w:u w:val="single"/>
        </w:rPr>
        <w:t>imediata suspensão da validade da Resolução CNPE nº 30</w:t>
      </w:r>
      <w:r w:rsidR="007762B6" w:rsidRPr="008D3EDC">
        <w:rPr>
          <w:rFonts w:ascii="Palatino Linotype" w:eastAsia="Palatino Linotype" w:hAnsi="Palatino Linotype" w:cs="Palatino Linotype"/>
          <w:b/>
          <w:bCs/>
          <w:sz w:val="24"/>
          <w:szCs w:val="24"/>
          <w:u w:val="single"/>
        </w:rPr>
        <w:t>/</w:t>
      </w:r>
      <w:r w:rsidRPr="008D3EDC">
        <w:rPr>
          <w:rFonts w:ascii="Palatino Linotype" w:eastAsia="Palatino Linotype" w:hAnsi="Palatino Linotype" w:cs="Palatino Linotype"/>
          <w:b/>
          <w:bCs/>
          <w:sz w:val="24"/>
          <w:szCs w:val="24"/>
          <w:u w:val="single"/>
        </w:rPr>
        <w:t>2021, de modo a determinar a realização de novo cálculo da VAC, com a inclusão das reservas de potência – CME Potência - no cálculo do CME, impondo o recálculo do preço da energia futura dos próximos 30 anos</w:t>
      </w:r>
      <w:r w:rsidR="008D3EDC">
        <w:rPr>
          <w:rFonts w:ascii="Palatino Linotype" w:eastAsia="Palatino Linotype" w:hAnsi="Palatino Linotype" w:cs="Palatino Linotype"/>
          <w:b/>
          <w:sz w:val="24"/>
          <w:szCs w:val="24"/>
        </w:rPr>
        <w:t>.</w:t>
      </w:r>
    </w:p>
    <w:p w14:paraId="5E785E7E" w14:textId="77777777" w:rsidR="008D3EDC" w:rsidRDefault="008D3EDC" w:rsidP="008D3EDC">
      <w:pPr>
        <w:pStyle w:val="PargrafodaLista"/>
        <w:rPr>
          <w:rFonts w:ascii="Palatino Linotype" w:eastAsia="Palatino Linotype" w:hAnsi="Palatino Linotype" w:cs="Palatino Linotype"/>
          <w:sz w:val="24"/>
          <w:szCs w:val="24"/>
        </w:rPr>
      </w:pPr>
    </w:p>
    <w:p w14:paraId="0A17BD07" w14:textId="2D57E72D" w:rsidR="007762B6" w:rsidRPr="00E62059" w:rsidRDefault="008D3EDC" w:rsidP="00E62059">
      <w:pPr>
        <w:numPr>
          <w:ilvl w:val="0"/>
          <w:numId w:val="24"/>
        </w:numPr>
        <w:pBdr>
          <w:top w:val="nil"/>
          <w:left w:val="nil"/>
          <w:bottom w:val="nil"/>
          <w:right w:val="nil"/>
          <w:between w:val="nil"/>
        </w:pBdr>
        <w:autoSpaceDE w:val="0"/>
        <w:autoSpaceDN w:val="0"/>
        <w:spacing w:after="0" w:line="360" w:lineRule="auto"/>
        <w:ind w:left="0" w:firstLine="0"/>
        <w:jc w:val="both"/>
        <w:rPr>
          <w:rFonts w:ascii="Palatino Linotype" w:eastAsia="Palatino Linotype" w:hAnsi="Palatino Linotype" w:cs="Palatino Linotype"/>
          <w:color w:val="000000"/>
          <w:sz w:val="24"/>
          <w:szCs w:val="24"/>
        </w:rPr>
      </w:pPr>
      <w:r w:rsidRPr="00E62059">
        <w:rPr>
          <w:rFonts w:ascii="Palatino Linotype" w:eastAsia="Palatino Linotype" w:hAnsi="Palatino Linotype" w:cs="Palatino Linotype"/>
          <w:sz w:val="24"/>
          <w:szCs w:val="24"/>
        </w:rPr>
        <w:t xml:space="preserve">Sem prejuízo de posterior </w:t>
      </w:r>
      <w:r w:rsidR="006B0F62">
        <w:rPr>
          <w:rFonts w:ascii="Palatino Linotype" w:eastAsia="Palatino Linotype" w:hAnsi="Palatino Linotype" w:cs="Palatino Linotype"/>
          <w:sz w:val="24"/>
          <w:szCs w:val="24"/>
        </w:rPr>
        <w:t>manifestação ou recurso a respeito</w:t>
      </w:r>
      <w:r w:rsidRPr="00E62059">
        <w:rPr>
          <w:rFonts w:ascii="Palatino Linotype" w:eastAsia="Palatino Linotype" w:hAnsi="Palatino Linotype" w:cs="Palatino Linotype"/>
          <w:sz w:val="24"/>
          <w:szCs w:val="24"/>
        </w:rPr>
        <w:t xml:space="preserve"> </w:t>
      </w:r>
      <w:r w:rsidR="006B0F62">
        <w:rPr>
          <w:rFonts w:ascii="Palatino Linotype" w:eastAsia="Palatino Linotype" w:hAnsi="Palatino Linotype" w:cs="Palatino Linotype"/>
          <w:sz w:val="24"/>
          <w:szCs w:val="24"/>
        </w:rPr>
        <w:t>d</w:t>
      </w:r>
      <w:r w:rsidRPr="00E62059">
        <w:rPr>
          <w:rFonts w:ascii="Palatino Linotype" w:eastAsia="Palatino Linotype" w:hAnsi="Palatino Linotype" w:cs="Palatino Linotype"/>
          <w:sz w:val="24"/>
          <w:szCs w:val="24"/>
        </w:rPr>
        <w:t>o declínio de competência constante na decisão interlocutória de ID 1036140249 ou consolidação da decisão com remessa dos autos à MM. 16ª Vara Federal Cível de Brasília.</w:t>
      </w:r>
    </w:p>
    <w:p w14:paraId="4CC4AA05" w14:textId="77777777" w:rsidR="009F12C6" w:rsidRDefault="009F12C6" w:rsidP="0059783C">
      <w:pPr>
        <w:pStyle w:val="PargrafodaLista"/>
        <w:tabs>
          <w:tab w:val="left" w:pos="5745"/>
        </w:tabs>
        <w:spacing w:line="360" w:lineRule="auto"/>
        <w:ind w:left="360"/>
        <w:jc w:val="both"/>
        <w:rPr>
          <w:rFonts w:ascii="Palatino Linotype" w:hAnsi="Palatino Linotype"/>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407"/>
      </w:tblGrid>
      <w:tr w:rsidR="00B32B5F" w:rsidRPr="00637AF5" w14:paraId="6E54D39E" w14:textId="77777777" w:rsidTr="00B32B5F">
        <w:trPr>
          <w:trHeight w:val="461"/>
          <w:jc w:val="center"/>
        </w:trPr>
        <w:tc>
          <w:tcPr>
            <w:tcW w:w="4407" w:type="dxa"/>
          </w:tcPr>
          <w:p w14:paraId="70A9C2F6" w14:textId="77777777" w:rsidR="00B32B5F" w:rsidRPr="00637AF5" w:rsidRDefault="00B32B5F" w:rsidP="00771B58">
            <w:pPr>
              <w:jc w:val="center"/>
              <w:rPr>
                <w:rFonts w:ascii="Palatino Linotype" w:hAnsi="Palatino Linotype"/>
                <w:i/>
                <w:spacing w:val="6"/>
                <w:sz w:val="24"/>
                <w:szCs w:val="24"/>
              </w:rPr>
            </w:pPr>
            <w:r w:rsidRPr="00637AF5">
              <w:rPr>
                <w:rFonts w:ascii="Palatino Linotype" w:hAnsi="Palatino Linotype"/>
                <w:i/>
                <w:spacing w:val="6"/>
                <w:sz w:val="24"/>
                <w:szCs w:val="24"/>
              </w:rPr>
              <w:t>Eugênio José Guilherme de Aragão</w:t>
            </w:r>
          </w:p>
          <w:p w14:paraId="3BA94450" w14:textId="77777777" w:rsidR="00B32B5F" w:rsidRPr="00637AF5" w:rsidRDefault="00B32B5F" w:rsidP="00771B58">
            <w:pPr>
              <w:jc w:val="center"/>
              <w:rPr>
                <w:rFonts w:ascii="Palatino Linotype" w:hAnsi="Palatino Linotype"/>
                <w:i/>
                <w:spacing w:val="6"/>
                <w:sz w:val="24"/>
                <w:szCs w:val="24"/>
              </w:rPr>
            </w:pPr>
            <w:r w:rsidRPr="00637AF5">
              <w:rPr>
                <w:rFonts w:ascii="Palatino Linotype" w:hAnsi="Palatino Linotype"/>
                <w:i/>
                <w:spacing w:val="6"/>
                <w:sz w:val="24"/>
                <w:szCs w:val="24"/>
              </w:rPr>
              <w:t>OAB/DF 4.935</w:t>
            </w:r>
          </w:p>
          <w:p w14:paraId="67AE8F18" w14:textId="77777777" w:rsidR="00B32B5F" w:rsidRPr="00637AF5" w:rsidRDefault="00B32B5F" w:rsidP="00771B58">
            <w:pPr>
              <w:jc w:val="center"/>
              <w:rPr>
                <w:rFonts w:ascii="Palatino Linotype" w:hAnsi="Palatino Linotype"/>
                <w:i/>
                <w:spacing w:val="6"/>
                <w:sz w:val="24"/>
                <w:szCs w:val="24"/>
              </w:rPr>
            </w:pPr>
          </w:p>
          <w:p w14:paraId="2EB48A59" w14:textId="77777777" w:rsidR="00B32B5F" w:rsidRPr="00637AF5" w:rsidRDefault="00B32B5F" w:rsidP="00771B58">
            <w:pPr>
              <w:jc w:val="center"/>
              <w:rPr>
                <w:rFonts w:ascii="Palatino Linotype" w:hAnsi="Palatino Linotype"/>
                <w:i/>
                <w:spacing w:val="6"/>
                <w:sz w:val="16"/>
                <w:szCs w:val="16"/>
              </w:rPr>
            </w:pPr>
          </w:p>
        </w:tc>
        <w:tc>
          <w:tcPr>
            <w:tcW w:w="4407" w:type="dxa"/>
          </w:tcPr>
          <w:p w14:paraId="5F2C511F" w14:textId="77777777" w:rsidR="00B32B5F" w:rsidRPr="00637AF5" w:rsidRDefault="00B32B5F" w:rsidP="00771B58">
            <w:pPr>
              <w:jc w:val="center"/>
              <w:rPr>
                <w:rFonts w:ascii="Palatino Linotype" w:hAnsi="Palatino Linotype"/>
                <w:i/>
                <w:spacing w:val="6"/>
                <w:sz w:val="24"/>
                <w:szCs w:val="24"/>
              </w:rPr>
            </w:pPr>
            <w:r w:rsidRPr="00637AF5">
              <w:rPr>
                <w:rFonts w:ascii="Palatino Linotype" w:hAnsi="Palatino Linotype"/>
                <w:i/>
                <w:spacing w:val="6"/>
                <w:sz w:val="24"/>
                <w:szCs w:val="24"/>
              </w:rPr>
              <w:t>Angelo Longo Ferraro</w:t>
            </w:r>
          </w:p>
          <w:p w14:paraId="4230F578" w14:textId="77777777" w:rsidR="00B32B5F" w:rsidRPr="00637AF5" w:rsidRDefault="00B32B5F" w:rsidP="00771B58">
            <w:pPr>
              <w:jc w:val="center"/>
              <w:rPr>
                <w:rFonts w:ascii="Palatino Linotype" w:hAnsi="Palatino Linotype"/>
                <w:i/>
                <w:spacing w:val="6"/>
                <w:sz w:val="24"/>
                <w:szCs w:val="24"/>
              </w:rPr>
            </w:pPr>
            <w:r w:rsidRPr="00637AF5">
              <w:rPr>
                <w:rFonts w:ascii="Palatino Linotype" w:hAnsi="Palatino Linotype"/>
                <w:i/>
                <w:spacing w:val="6"/>
                <w:sz w:val="24"/>
                <w:szCs w:val="24"/>
              </w:rPr>
              <w:t>OAB/DF 37.922</w:t>
            </w:r>
          </w:p>
          <w:p w14:paraId="6B45C2F3" w14:textId="77777777" w:rsidR="00B32B5F" w:rsidRPr="00637AF5" w:rsidRDefault="00B32B5F" w:rsidP="00771B58">
            <w:pPr>
              <w:jc w:val="center"/>
              <w:rPr>
                <w:rFonts w:ascii="Palatino Linotype" w:hAnsi="Palatino Linotype"/>
                <w:i/>
                <w:spacing w:val="6"/>
                <w:sz w:val="24"/>
                <w:szCs w:val="24"/>
              </w:rPr>
            </w:pPr>
          </w:p>
        </w:tc>
      </w:tr>
      <w:tr w:rsidR="00B32B5F" w:rsidRPr="00637AF5" w14:paraId="76735FCB" w14:textId="77777777" w:rsidTr="00B32B5F">
        <w:trPr>
          <w:trHeight w:val="759"/>
          <w:jc w:val="center"/>
        </w:trPr>
        <w:tc>
          <w:tcPr>
            <w:tcW w:w="4407" w:type="dxa"/>
          </w:tcPr>
          <w:p w14:paraId="4747519A" w14:textId="77777777" w:rsidR="00B32B5F" w:rsidRPr="00637AF5" w:rsidRDefault="00B32B5F" w:rsidP="00771B58">
            <w:pPr>
              <w:jc w:val="center"/>
              <w:rPr>
                <w:rFonts w:ascii="Palatino Linotype" w:hAnsi="Palatino Linotype"/>
                <w:i/>
                <w:spacing w:val="6"/>
                <w:sz w:val="24"/>
                <w:szCs w:val="24"/>
              </w:rPr>
            </w:pPr>
            <w:r w:rsidRPr="00637AF5">
              <w:rPr>
                <w:rFonts w:ascii="Palatino Linotype" w:hAnsi="Palatino Linotype"/>
                <w:i/>
                <w:spacing w:val="6"/>
                <w:sz w:val="24"/>
                <w:szCs w:val="24"/>
              </w:rPr>
              <w:t xml:space="preserve">Marcelo </w:t>
            </w:r>
            <w:proofErr w:type="spellStart"/>
            <w:r w:rsidRPr="00637AF5">
              <w:rPr>
                <w:rFonts w:ascii="Palatino Linotype" w:hAnsi="Palatino Linotype"/>
                <w:i/>
                <w:spacing w:val="6"/>
                <w:sz w:val="24"/>
                <w:szCs w:val="24"/>
              </w:rPr>
              <w:t>Winch</w:t>
            </w:r>
            <w:proofErr w:type="spellEnd"/>
            <w:r w:rsidRPr="00637AF5">
              <w:rPr>
                <w:rFonts w:ascii="Palatino Linotype" w:hAnsi="Palatino Linotype"/>
                <w:i/>
                <w:spacing w:val="6"/>
                <w:sz w:val="24"/>
                <w:szCs w:val="24"/>
              </w:rPr>
              <w:t xml:space="preserve"> Schmidt</w:t>
            </w:r>
          </w:p>
          <w:p w14:paraId="16126EDE" w14:textId="77777777" w:rsidR="00B32B5F" w:rsidRPr="00637AF5" w:rsidRDefault="00B32B5F" w:rsidP="00771B58">
            <w:pPr>
              <w:jc w:val="center"/>
              <w:rPr>
                <w:rFonts w:ascii="Palatino Linotype" w:hAnsi="Palatino Linotype"/>
                <w:i/>
                <w:spacing w:val="6"/>
                <w:sz w:val="24"/>
                <w:szCs w:val="24"/>
              </w:rPr>
            </w:pPr>
            <w:r w:rsidRPr="00637AF5">
              <w:rPr>
                <w:rFonts w:ascii="Palatino Linotype" w:hAnsi="Palatino Linotype"/>
                <w:i/>
                <w:spacing w:val="6"/>
                <w:sz w:val="24"/>
                <w:szCs w:val="24"/>
              </w:rPr>
              <w:t>OAB/DF 53.599</w:t>
            </w:r>
          </w:p>
          <w:p w14:paraId="4F04FFDE" w14:textId="56B03533" w:rsidR="00B32B5F" w:rsidRPr="00637AF5" w:rsidRDefault="00B32B5F" w:rsidP="00771B58">
            <w:pPr>
              <w:jc w:val="center"/>
              <w:rPr>
                <w:rFonts w:ascii="Palatino Linotype" w:hAnsi="Palatino Linotype"/>
                <w:i/>
                <w:spacing w:val="6"/>
                <w:sz w:val="16"/>
                <w:szCs w:val="16"/>
              </w:rPr>
            </w:pPr>
          </w:p>
        </w:tc>
        <w:tc>
          <w:tcPr>
            <w:tcW w:w="4407" w:type="dxa"/>
          </w:tcPr>
          <w:p w14:paraId="0DD8C2B1" w14:textId="77777777" w:rsidR="00B32B5F" w:rsidRPr="00E75D82" w:rsidRDefault="00B32B5F" w:rsidP="00771B58">
            <w:pPr>
              <w:jc w:val="center"/>
              <w:rPr>
                <w:rFonts w:ascii="Palatino Linotype" w:hAnsi="Palatino Linotype"/>
                <w:i/>
                <w:spacing w:val="6"/>
                <w:sz w:val="24"/>
                <w:szCs w:val="24"/>
              </w:rPr>
            </w:pPr>
            <w:r w:rsidRPr="00E75D82">
              <w:rPr>
                <w:rFonts w:ascii="Palatino Linotype" w:hAnsi="Palatino Linotype"/>
                <w:i/>
                <w:spacing w:val="6"/>
                <w:sz w:val="24"/>
                <w:szCs w:val="24"/>
              </w:rPr>
              <w:t>Miguel Novaes</w:t>
            </w:r>
          </w:p>
          <w:p w14:paraId="4FB1A803" w14:textId="77777777" w:rsidR="00B32B5F" w:rsidRPr="00E75D82" w:rsidRDefault="00B32B5F" w:rsidP="00771B58">
            <w:pPr>
              <w:jc w:val="center"/>
              <w:rPr>
                <w:rFonts w:ascii="Palatino Linotype" w:hAnsi="Palatino Linotype"/>
                <w:i/>
                <w:spacing w:val="6"/>
                <w:sz w:val="24"/>
                <w:szCs w:val="24"/>
              </w:rPr>
            </w:pPr>
            <w:r w:rsidRPr="00E75D82">
              <w:rPr>
                <w:rFonts w:ascii="Palatino Linotype" w:hAnsi="Palatino Linotype"/>
                <w:i/>
                <w:spacing w:val="6"/>
                <w:sz w:val="24"/>
                <w:szCs w:val="24"/>
              </w:rPr>
              <w:t>OAB/DF 57.469</w:t>
            </w:r>
          </w:p>
          <w:p w14:paraId="6D875F44" w14:textId="77777777" w:rsidR="00B32B5F" w:rsidRDefault="00B32B5F" w:rsidP="00771B58">
            <w:pPr>
              <w:jc w:val="center"/>
              <w:rPr>
                <w:rFonts w:ascii="Palatino Linotype" w:hAnsi="Palatino Linotype"/>
                <w:i/>
                <w:spacing w:val="6"/>
                <w:sz w:val="24"/>
                <w:szCs w:val="24"/>
              </w:rPr>
            </w:pPr>
          </w:p>
          <w:p w14:paraId="2379104F" w14:textId="77777777" w:rsidR="00B32B5F" w:rsidRPr="00637AF5" w:rsidRDefault="00B32B5F" w:rsidP="00771B58">
            <w:pPr>
              <w:jc w:val="center"/>
              <w:rPr>
                <w:rFonts w:ascii="Palatino Linotype" w:hAnsi="Palatino Linotype"/>
                <w:i/>
                <w:spacing w:val="6"/>
                <w:sz w:val="24"/>
                <w:szCs w:val="24"/>
              </w:rPr>
            </w:pPr>
          </w:p>
        </w:tc>
      </w:tr>
    </w:tbl>
    <w:p w14:paraId="3A1DDEF3" w14:textId="77777777" w:rsidR="00B32B5F" w:rsidRPr="00637AF5" w:rsidRDefault="00B32B5F" w:rsidP="00B32B5F">
      <w:pPr>
        <w:jc w:val="center"/>
        <w:rPr>
          <w:rFonts w:ascii="Palatino Linotype" w:hAnsi="Palatino Linotype"/>
          <w:i/>
          <w:spacing w:val="6"/>
          <w:sz w:val="24"/>
          <w:szCs w:val="24"/>
        </w:rPr>
      </w:pPr>
      <w:r>
        <w:rPr>
          <w:rFonts w:ascii="Palatino Linotype" w:hAnsi="Palatino Linotype"/>
          <w:i/>
          <w:spacing w:val="6"/>
          <w:sz w:val="24"/>
          <w:szCs w:val="24"/>
        </w:rPr>
        <w:t>Roberta Nayara P. Alexandre</w:t>
      </w:r>
    </w:p>
    <w:p w14:paraId="246166CC" w14:textId="442C5D43" w:rsidR="002968DE" w:rsidRPr="002968DE" w:rsidRDefault="00B32B5F" w:rsidP="0040264F">
      <w:pPr>
        <w:jc w:val="center"/>
        <w:rPr>
          <w:rFonts w:ascii="Palatino Linotype" w:hAnsi="Palatino Linotype"/>
          <w:b/>
          <w:bCs/>
          <w:sz w:val="24"/>
          <w:szCs w:val="24"/>
        </w:rPr>
      </w:pPr>
      <w:r w:rsidRPr="00637AF5">
        <w:rPr>
          <w:rFonts w:ascii="Palatino Linotype" w:hAnsi="Palatino Linotype"/>
          <w:i/>
          <w:spacing w:val="6"/>
          <w:sz w:val="24"/>
          <w:szCs w:val="24"/>
        </w:rPr>
        <w:t xml:space="preserve">OAB/DF </w:t>
      </w:r>
      <w:r>
        <w:rPr>
          <w:rFonts w:ascii="Palatino Linotype" w:hAnsi="Palatino Linotype"/>
          <w:i/>
          <w:spacing w:val="6"/>
          <w:sz w:val="24"/>
          <w:szCs w:val="24"/>
        </w:rPr>
        <w:t>59.906</w:t>
      </w:r>
    </w:p>
    <w:sectPr w:rsidR="002968DE" w:rsidRPr="002968DE" w:rsidSect="006E228E">
      <w:headerReference w:type="default" r:id="rId9"/>
      <w:footerReference w:type="default" r:id="rId10"/>
      <w:pgSz w:w="11906" w:h="16838"/>
      <w:pgMar w:top="1134" w:right="1133" w:bottom="993" w:left="1701"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6EF4" w14:textId="77777777" w:rsidR="00853822" w:rsidRDefault="00853822">
      <w:pPr>
        <w:spacing w:after="0" w:line="240" w:lineRule="auto"/>
      </w:pPr>
      <w:r>
        <w:separator/>
      </w:r>
    </w:p>
  </w:endnote>
  <w:endnote w:type="continuationSeparator" w:id="0">
    <w:p w14:paraId="0AC3CC63" w14:textId="77777777" w:rsidR="00853822" w:rsidRDefault="0085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E142" w14:textId="77777777" w:rsidR="00B57D90" w:rsidRDefault="00B57D90">
    <w:pPr>
      <w:pStyle w:val="Rodap"/>
      <w:tabs>
        <w:tab w:val="left" w:pos="25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1409" w14:textId="77777777" w:rsidR="00853822" w:rsidRDefault="00853822">
      <w:pPr>
        <w:spacing w:after="0" w:line="240" w:lineRule="auto"/>
      </w:pPr>
      <w:bookmarkStart w:id="0" w:name="_Hlk501554640"/>
      <w:bookmarkEnd w:id="0"/>
      <w:r>
        <w:separator/>
      </w:r>
    </w:p>
  </w:footnote>
  <w:footnote w:type="continuationSeparator" w:id="0">
    <w:p w14:paraId="10BD73BA" w14:textId="77777777" w:rsidR="00853822" w:rsidRDefault="0085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F945" w14:textId="6E81A91E" w:rsidR="00B57D90" w:rsidRDefault="00B57D90">
    <w:pPr>
      <w:pStyle w:val="Cabealho"/>
      <w:ind w:right="-568"/>
      <w:jc w:val="center"/>
      <w:rPr>
        <w:noProof/>
        <w:lang w:eastAsia="pt-BR"/>
      </w:rPr>
    </w:pPr>
    <w:r w:rsidRPr="00E930DF">
      <w:rPr>
        <w:noProof/>
        <w:lang w:eastAsia="pt-BR"/>
      </w:rPr>
      <w:drawing>
        <wp:anchor distT="0" distB="0" distL="114300" distR="114300" simplePos="0" relativeHeight="251656704" behindDoc="0" locked="0" layoutInCell="1" allowOverlap="1" wp14:anchorId="66397B7C" wp14:editId="79940F33">
          <wp:simplePos x="0" y="0"/>
          <wp:positionH relativeFrom="page">
            <wp:align>center</wp:align>
          </wp:positionH>
          <wp:positionV relativeFrom="paragraph">
            <wp:posOffset>-236220</wp:posOffset>
          </wp:positionV>
          <wp:extent cx="1536065" cy="950595"/>
          <wp:effectExtent l="0" t="0" r="6985" b="190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9505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lang w:eastAsia="pt-BR"/>
        </w:rPr>
        <w:id w:val="-1909068533"/>
        <w:docPartObj>
          <w:docPartGallery w:val="Page Numbers (Margins)"/>
          <w:docPartUnique/>
        </w:docPartObj>
      </w:sdtPr>
      <w:sdtEndPr/>
      <w:sdtContent>
        <w:r>
          <w:rPr>
            <w:noProof/>
            <w:lang w:eastAsia="pt-BR"/>
          </w:rPr>
          <mc:AlternateContent>
            <mc:Choice Requires="wps">
              <w:drawing>
                <wp:anchor distT="0" distB="0" distL="114300" distR="114300" simplePos="0" relativeHeight="251657728" behindDoc="0" locked="0" layoutInCell="0" allowOverlap="1" wp14:anchorId="4AD4474E" wp14:editId="09FA5BC9">
                  <wp:simplePos x="0" y="0"/>
                  <wp:positionH relativeFrom="rightMargin">
                    <wp:align>right</wp:align>
                  </wp:positionH>
                  <wp:positionV relativeFrom="margin">
                    <wp:align>center</wp:align>
                  </wp:positionV>
                  <wp:extent cx="727710" cy="329565"/>
                  <wp:effectExtent l="0" t="0" r="0" b="381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051E1" w14:textId="77777777" w:rsidR="00B57D90" w:rsidRDefault="00B57D9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D4474E" id="Retângulo 7" o:spid="_x0000_s1026" style="position:absolute;left:0;text-align:left;margin-left:6.1pt;margin-top:0;width:57.3pt;height:25.95pt;z-index:2516577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CC051E1" w14:textId="77777777" w:rsidR="00B57D90" w:rsidRDefault="00B57D9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9D8"/>
    <w:multiLevelType w:val="multilevel"/>
    <w:tmpl w:val="C406B9B4"/>
    <w:lvl w:ilvl="0">
      <w:start w:val="1"/>
      <w:numFmt w:val="decimal"/>
      <w:lvlText w:val="%1."/>
      <w:lvlJc w:val="left"/>
      <w:pPr>
        <w:ind w:left="6456" w:hanging="360"/>
      </w:pPr>
      <w:rPr>
        <w:i w:val="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 w15:restartNumberingAfterBreak="0">
    <w:nsid w:val="0CBE125A"/>
    <w:multiLevelType w:val="hybridMultilevel"/>
    <w:tmpl w:val="E0E09066"/>
    <w:lvl w:ilvl="0" w:tplc="20F6EF62">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4A6DC6"/>
    <w:multiLevelType w:val="multilevel"/>
    <w:tmpl w:val="3D5C4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68464F"/>
    <w:multiLevelType w:val="multilevel"/>
    <w:tmpl w:val="FCB44984"/>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69588D"/>
    <w:multiLevelType w:val="multilevel"/>
    <w:tmpl w:val="40B27E36"/>
    <w:lvl w:ilvl="0">
      <w:start w:val="1"/>
      <w:numFmt w:val="decimal"/>
      <w:lvlText w:val="%1."/>
      <w:lvlJc w:val="left"/>
      <w:pPr>
        <w:ind w:left="360" w:hanging="360"/>
      </w:pPr>
      <w:rPr>
        <w:b w:val="0"/>
        <w:i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A82404"/>
    <w:multiLevelType w:val="hybridMultilevel"/>
    <w:tmpl w:val="3F3A07C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377DA4"/>
    <w:multiLevelType w:val="hybridMultilevel"/>
    <w:tmpl w:val="8B26A67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7" w15:restartNumberingAfterBreak="0">
    <w:nsid w:val="22985329"/>
    <w:multiLevelType w:val="multilevel"/>
    <w:tmpl w:val="407AE1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6873093"/>
    <w:multiLevelType w:val="multilevel"/>
    <w:tmpl w:val="8D34709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BF233F"/>
    <w:multiLevelType w:val="multilevel"/>
    <w:tmpl w:val="DF3CC6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39357B1"/>
    <w:multiLevelType w:val="multilevel"/>
    <w:tmpl w:val="D71CED54"/>
    <w:lvl w:ilvl="0">
      <w:start w:val="1"/>
      <w:numFmt w:val="decimal"/>
      <w:lvlText w:val="%1."/>
      <w:lvlJc w:val="left"/>
      <w:pPr>
        <w:ind w:left="360" w:hanging="360"/>
      </w:pPr>
      <w:rPr>
        <w:b w:val="0"/>
        <w:i w:val="0"/>
      </w:rPr>
    </w:lvl>
    <w:lvl w:ilvl="1">
      <w:start w:val="1"/>
      <w:numFmt w:val="lowerLetter"/>
      <w:lvlText w:val="%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1D7A93"/>
    <w:multiLevelType w:val="hybridMultilevel"/>
    <w:tmpl w:val="CDDE414C"/>
    <w:lvl w:ilvl="0" w:tplc="FFF62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3BB6E93"/>
    <w:multiLevelType w:val="multilevel"/>
    <w:tmpl w:val="ABC886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4825485"/>
    <w:multiLevelType w:val="hybridMultilevel"/>
    <w:tmpl w:val="F7C4BF10"/>
    <w:lvl w:ilvl="0" w:tplc="7D10322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AB6D67"/>
    <w:multiLevelType w:val="multilevel"/>
    <w:tmpl w:val="535AF5AC"/>
    <w:lvl w:ilvl="0">
      <w:start w:val="1"/>
      <w:numFmt w:val="decimal"/>
      <w:lvlText w:val="%1."/>
      <w:lvlJc w:val="left"/>
      <w:pPr>
        <w:ind w:left="720" w:hanging="360"/>
      </w:pPr>
      <w:rPr>
        <w:rFonts w:ascii="Palatino Linotype" w:hAnsi="Palatino Linotype"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B8105A"/>
    <w:multiLevelType w:val="multilevel"/>
    <w:tmpl w:val="DFC633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B0E04A6"/>
    <w:multiLevelType w:val="multilevel"/>
    <w:tmpl w:val="03623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E74428F"/>
    <w:multiLevelType w:val="hybridMultilevel"/>
    <w:tmpl w:val="943C5210"/>
    <w:lvl w:ilvl="0" w:tplc="112AF9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F666B5"/>
    <w:multiLevelType w:val="multilevel"/>
    <w:tmpl w:val="DAF46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56816D7"/>
    <w:multiLevelType w:val="multilevel"/>
    <w:tmpl w:val="CD7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2B65F4"/>
    <w:multiLevelType w:val="hybridMultilevel"/>
    <w:tmpl w:val="480452E4"/>
    <w:lvl w:ilvl="0" w:tplc="FFF62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C8180D"/>
    <w:multiLevelType w:val="hybridMultilevel"/>
    <w:tmpl w:val="82B4A112"/>
    <w:lvl w:ilvl="0" w:tplc="2082A550">
      <w:start w:val="1"/>
      <w:numFmt w:val="decimal"/>
      <w:lvlText w:val="%1."/>
      <w:lvlJc w:val="left"/>
      <w:pPr>
        <w:ind w:left="107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C158C7"/>
    <w:multiLevelType w:val="multilevel"/>
    <w:tmpl w:val="F4BA331E"/>
    <w:lvl w:ilvl="0">
      <w:start w:val="1"/>
      <w:numFmt w:val="bullet"/>
      <w:lvlText w:val=""/>
      <w:lvlJc w:val="left"/>
      <w:pPr>
        <w:ind w:left="360" w:hanging="360"/>
      </w:pPr>
      <w:rPr>
        <w:rFonts w:ascii="Symbol" w:hAnsi="Symbol" w:hint="default"/>
        <w:b w:val="0"/>
        <w:i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2736D5"/>
    <w:multiLevelType w:val="multilevel"/>
    <w:tmpl w:val="6AC20C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8D584F"/>
    <w:multiLevelType w:val="multilevel"/>
    <w:tmpl w:val="3D96FDD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023283093">
    <w:abstractNumId w:val="5"/>
  </w:num>
  <w:num w:numId="2" w16cid:durableId="2042392708">
    <w:abstractNumId w:val="2"/>
  </w:num>
  <w:num w:numId="3" w16cid:durableId="1376585200">
    <w:abstractNumId w:val="7"/>
  </w:num>
  <w:num w:numId="4" w16cid:durableId="1866599136">
    <w:abstractNumId w:val="12"/>
  </w:num>
  <w:num w:numId="5" w16cid:durableId="1808233033">
    <w:abstractNumId w:val="3"/>
  </w:num>
  <w:num w:numId="6" w16cid:durableId="1862011085">
    <w:abstractNumId w:val="18"/>
  </w:num>
  <w:num w:numId="7" w16cid:durableId="530454486">
    <w:abstractNumId w:val="16"/>
  </w:num>
  <w:num w:numId="8" w16cid:durableId="1235895498">
    <w:abstractNumId w:val="15"/>
  </w:num>
  <w:num w:numId="9" w16cid:durableId="1147941081">
    <w:abstractNumId w:val="9"/>
  </w:num>
  <w:num w:numId="10" w16cid:durableId="288556567">
    <w:abstractNumId w:val="1"/>
  </w:num>
  <w:num w:numId="11" w16cid:durableId="1051882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828169">
    <w:abstractNumId w:val="0"/>
  </w:num>
  <w:num w:numId="13" w16cid:durableId="1244098341">
    <w:abstractNumId w:val="21"/>
  </w:num>
  <w:num w:numId="14" w16cid:durableId="1682001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4116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129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326023">
    <w:abstractNumId w:val="4"/>
  </w:num>
  <w:num w:numId="18" w16cid:durableId="1558199498">
    <w:abstractNumId w:val="13"/>
  </w:num>
  <w:num w:numId="19" w16cid:durableId="2065714979">
    <w:abstractNumId w:val="4"/>
  </w:num>
  <w:num w:numId="20" w16cid:durableId="741489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287567">
    <w:abstractNumId w:val="22"/>
  </w:num>
  <w:num w:numId="22" w16cid:durableId="1454254700">
    <w:abstractNumId w:val="6"/>
  </w:num>
  <w:num w:numId="23" w16cid:durableId="1849320751">
    <w:abstractNumId w:val="17"/>
  </w:num>
  <w:num w:numId="24" w16cid:durableId="1401248873">
    <w:abstractNumId w:val="10"/>
  </w:num>
  <w:num w:numId="25" w16cid:durableId="1721782301">
    <w:abstractNumId w:val="20"/>
  </w:num>
  <w:num w:numId="26" w16cid:durableId="824979075">
    <w:abstractNumId w:val="23"/>
  </w:num>
  <w:num w:numId="27" w16cid:durableId="22885235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03"/>
    <w:rsid w:val="00000A0B"/>
    <w:rsid w:val="0000360E"/>
    <w:rsid w:val="00005B2E"/>
    <w:rsid w:val="00005C2C"/>
    <w:rsid w:val="000077E0"/>
    <w:rsid w:val="000101A3"/>
    <w:rsid w:val="000106CD"/>
    <w:rsid w:val="00010B1F"/>
    <w:rsid w:val="000211FF"/>
    <w:rsid w:val="000271D3"/>
    <w:rsid w:val="00043643"/>
    <w:rsid w:val="000523F3"/>
    <w:rsid w:val="00052439"/>
    <w:rsid w:val="00052EA3"/>
    <w:rsid w:val="000534D7"/>
    <w:rsid w:val="00057E4E"/>
    <w:rsid w:val="000607ED"/>
    <w:rsid w:val="00067BEE"/>
    <w:rsid w:val="00070EC9"/>
    <w:rsid w:val="00081ACC"/>
    <w:rsid w:val="00083519"/>
    <w:rsid w:val="000913A5"/>
    <w:rsid w:val="00093642"/>
    <w:rsid w:val="00097FC1"/>
    <w:rsid w:val="000A4AA1"/>
    <w:rsid w:val="000A5A30"/>
    <w:rsid w:val="000A6177"/>
    <w:rsid w:val="000B2280"/>
    <w:rsid w:val="000B312F"/>
    <w:rsid w:val="000B535B"/>
    <w:rsid w:val="000B6192"/>
    <w:rsid w:val="000C1474"/>
    <w:rsid w:val="000C48CC"/>
    <w:rsid w:val="000C4AAC"/>
    <w:rsid w:val="000C52B8"/>
    <w:rsid w:val="000C5806"/>
    <w:rsid w:val="000C6F11"/>
    <w:rsid w:val="000C7DDD"/>
    <w:rsid w:val="000D45C7"/>
    <w:rsid w:val="000D58DF"/>
    <w:rsid w:val="000D66B9"/>
    <w:rsid w:val="000D66C1"/>
    <w:rsid w:val="000E0E4B"/>
    <w:rsid w:val="000E25AA"/>
    <w:rsid w:val="000E3D00"/>
    <w:rsid w:val="000E5D26"/>
    <w:rsid w:val="000E7003"/>
    <w:rsid w:val="000E7FD3"/>
    <w:rsid w:val="000F13C5"/>
    <w:rsid w:val="000F170B"/>
    <w:rsid w:val="000F2E3E"/>
    <w:rsid w:val="000F4967"/>
    <w:rsid w:val="000F6D7D"/>
    <w:rsid w:val="0010104F"/>
    <w:rsid w:val="0011039D"/>
    <w:rsid w:val="00111F83"/>
    <w:rsid w:val="00112285"/>
    <w:rsid w:val="001225F1"/>
    <w:rsid w:val="00122D31"/>
    <w:rsid w:val="00127719"/>
    <w:rsid w:val="00130C2B"/>
    <w:rsid w:val="001317F8"/>
    <w:rsid w:val="00133A27"/>
    <w:rsid w:val="0014183B"/>
    <w:rsid w:val="001428ED"/>
    <w:rsid w:val="00147709"/>
    <w:rsid w:val="001503B6"/>
    <w:rsid w:val="001568B2"/>
    <w:rsid w:val="00160812"/>
    <w:rsid w:val="0017285C"/>
    <w:rsid w:val="00172C00"/>
    <w:rsid w:val="00175AF8"/>
    <w:rsid w:val="001764DB"/>
    <w:rsid w:val="00177C10"/>
    <w:rsid w:val="00181842"/>
    <w:rsid w:val="001856E5"/>
    <w:rsid w:val="00186D0C"/>
    <w:rsid w:val="00196573"/>
    <w:rsid w:val="00197E35"/>
    <w:rsid w:val="001A2E86"/>
    <w:rsid w:val="001A5736"/>
    <w:rsid w:val="001A668E"/>
    <w:rsid w:val="001B0C2C"/>
    <w:rsid w:val="001B3F1D"/>
    <w:rsid w:val="001B6CA5"/>
    <w:rsid w:val="001D0549"/>
    <w:rsid w:val="001D431B"/>
    <w:rsid w:val="001D74CE"/>
    <w:rsid w:val="001D7951"/>
    <w:rsid w:val="001E14B6"/>
    <w:rsid w:val="001E1DC3"/>
    <w:rsid w:val="001E6003"/>
    <w:rsid w:val="001E7F7B"/>
    <w:rsid w:val="001F4804"/>
    <w:rsid w:val="00201ACF"/>
    <w:rsid w:val="00207F61"/>
    <w:rsid w:val="00212B7F"/>
    <w:rsid w:val="002140D1"/>
    <w:rsid w:val="00215FC3"/>
    <w:rsid w:val="002173C8"/>
    <w:rsid w:val="002202F8"/>
    <w:rsid w:val="00232E85"/>
    <w:rsid w:val="00237A53"/>
    <w:rsid w:val="002449B1"/>
    <w:rsid w:val="00246C50"/>
    <w:rsid w:val="002524AA"/>
    <w:rsid w:val="00254F77"/>
    <w:rsid w:val="00257E77"/>
    <w:rsid w:val="002602A6"/>
    <w:rsid w:val="00263682"/>
    <w:rsid w:val="00264179"/>
    <w:rsid w:val="002658BE"/>
    <w:rsid w:val="0026702C"/>
    <w:rsid w:val="00277CB3"/>
    <w:rsid w:val="00277EC0"/>
    <w:rsid w:val="0028383D"/>
    <w:rsid w:val="00285F72"/>
    <w:rsid w:val="00287E1A"/>
    <w:rsid w:val="00293AF4"/>
    <w:rsid w:val="00293FD2"/>
    <w:rsid w:val="00295E63"/>
    <w:rsid w:val="002968DE"/>
    <w:rsid w:val="002A484B"/>
    <w:rsid w:val="002B6000"/>
    <w:rsid w:val="002B674F"/>
    <w:rsid w:val="002C1F9E"/>
    <w:rsid w:val="002D1A68"/>
    <w:rsid w:val="002E013E"/>
    <w:rsid w:val="002E53EF"/>
    <w:rsid w:val="002E60AE"/>
    <w:rsid w:val="002F148E"/>
    <w:rsid w:val="002F46E5"/>
    <w:rsid w:val="002F7348"/>
    <w:rsid w:val="00300B84"/>
    <w:rsid w:val="00304E5B"/>
    <w:rsid w:val="003147E7"/>
    <w:rsid w:val="00316B62"/>
    <w:rsid w:val="0031751F"/>
    <w:rsid w:val="00320B1A"/>
    <w:rsid w:val="00320DE8"/>
    <w:rsid w:val="003218B7"/>
    <w:rsid w:val="00325319"/>
    <w:rsid w:val="00325772"/>
    <w:rsid w:val="003263A1"/>
    <w:rsid w:val="00327DFC"/>
    <w:rsid w:val="0033719E"/>
    <w:rsid w:val="003373A0"/>
    <w:rsid w:val="00342124"/>
    <w:rsid w:val="00344E41"/>
    <w:rsid w:val="003537EB"/>
    <w:rsid w:val="00353A97"/>
    <w:rsid w:val="0035678A"/>
    <w:rsid w:val="003600E5"/>
    <w:rsid w:val="00360576"/>
    <w:rsid w:val="0036067D"/>
    <w:rsid w:val="00360E55"/>
    <w:rsid w:val="00375EDE"/>
    <w:rsid w:val="00376370"/>
    <w:rsid w:val="003802E5"/>
    <w:rsid w:val="0038136E"/>
    <w:rsid w:val="00383EFA"/>
    <w:rsid w:val="00385D38"/>
    <w:rsid w:val="00390C2F"/>
    <w:rsid w:val="00391E50"/>
    <w:rsid w:val="003958DB"/>
    <w:rsid w:val="003968CD"/>
    <w:rsid w:val="00397DC3"/>
    <w:rsid w:val="003A05BA"/>
    <w:rsid w:val="003A07D7"/>
    <w:rsid w:val="003A449D"/>
    <w:rsid w:val="003A4694"/>
    <w:rsid w:val="003A6A79"/>
    <w:rsid w:val="003A7484"/>
    <w:rsid w:val="003A758E"/>
    <w:rsid w:val="003B006C"/>
    <w:rsid w:val="003B5705"/>
    <w:rsid w:val="003C1A35"/>
    <w:rsid w:val="003C6482"/>
    <w:rsid w:val="003D078D"/>
    <w:rsid w:val="003D11EA"/>
    <w:rsid w:val="003D1BFC"/>
    <w:rsid w:val="003D2FE1"/>
    <w:rsid w:val="003D6A24"/>
    <w:rsid w:val="003E03E0"/>
    <w:rsid w:val="003E1974"/>
    <w:rsid w:val="003E358F"/>
    <w:rsid w:val="003E4842"/>
    <w:rsid w:val="003E675E"/>
    <w:rsid w:val="003E7B6E"/>
    <w:rsid w:val="003F3007"/>
    <w:rsid w:val="003F480F"/>
    <w:rsid w:val="003F5264"/>
    <w:rsid w:val="003F7C2A"/>
    <w:rsid w:val="0040264F"/>
    <w:rsid w:val="00415D5A"/>
    <w:rsid w:val="00417B42"/>
    <w:rsid w:val="00421018"/>
    <w:rsid w:val="0042703D"/>
    <w:rsid w:val="00437613"/>
    <w:rsid w:val="00440840"/>
    <w:rsid w:val="00441E59"/>
    <w:rsid w:val="00447A24"/>
    <w:rsid w:val="00455047"/>
    <w:rsid w:val="0047329B"/>
    <w:rsid w:val="00475F9E"/>
    <w:rsid w:val="0047719E"/>
    <w:rsid w:val="00477E81"/>
    <w:rsid w:val="004814D3"/>
    <w:rsid w:val="00490725"/>
    <w:rsid w:val="00491F97"/>
    <w:rsid w:val="004920AF"/>
    <w:rsid w:val="00494A78"/>
    <w:rsid w:val="004A0561"/>
    <w:rsid w:val="004A41B0"/>
    <w:rsid w:val="004A4AAA"/>
    <w:rsid w:val="004A6DA7"/>
    <w:rsid w:val="004A7BB4"/>
    <w:rsid w:val="004B0A4B"/>
    <w:rsid w:val="004B2CB8"/>
    <w:rsid w:val="004B4686"/>
    <w:rsid w:val="004B501E"/>
    <w:rsid w:val="004B5312"/>
    <w:rsid w:val="004B670F"/>
    <w:rsid w:val="004B7C78"/>
    <w:rsid w:val="004C5752"/>
    <w:rsid w:val="004D118A"/>
    <w:rsid w:val="004E13ED"/>
    <w:rsid w:val="004E2F67"/>
    <w:rsid w:val="004F14BB"/>
    <w:rsid w:val="004F51E0"/>
    <w:rsid w:val="0050785C"/>
    <w:rsid w:val="00507EAA"/>
    <w:rsid w:val="005129E5"/>
    <w:rsid w:val="00523026"/>
    <w:rsid w:val="005247FF"/>
    <w:rsid w:val="00525CCC"/>
    <w:rsid w:val="00526C25"/>
    <w:rsid w:val="00527708"/>
    <w:rsid w:val="005309BB"/>
    <w:rsid w:val="00532F17"/>
    <w:rsid w:val="00544B86"/>
    <w:rsid w:val="0054646B"/>
    <w:rsid w:val="00555564"/>
    <w:rsid w:val="00562CF2"/>
    <w:rsid w:val="00566EDB"/>
    <w:rsid w:val="00572BFB"/>
    <w:rsid w:val="00582526"/>
    <w:rsid w:val="00590155"/>
    <w:rsid w:val="00590796"/>
    <w:rsid w:val="00592026"/>
    <w:rsid w:val="00592112"/>
    <w:rsid w:val="0059482F"/>
    <w:rsid w:val="0059783C"/>
    <w:rsid w:val="005A40BB"/>
    <w:rsid w:val="005B3732"/>
    <w:rsid w:val="005B4151"/>
    <w:rsid w:val="005B57C3"/>
    <w:rsid w:val="005B6A83"/>
    <w:rsid w:val="005B6E71"/>
    <w:rsid w:val="005C3C3D"/>
    <w:rsid w:val="005C57F9"/>
    <w:rsid w:val="005C78F0"/>
    <w:rsid w:val="005C7A30"/>
    <w:rsid w:val="005E1485"/>
    <w:rsid w:val="005E34B9"/>
    <w:rsid w:val="005F73F9"/>
    <w:rsid w:val="00600E20"/>
    <w:rsid w:val="00601064"/>
    <w:rsid w:val="00602F84"/>
    <w:rsid w:val="006107BE"/>
    <w:rsid w:val="0061142B"/>
    <w:rsid w:val="00616C5D"/>
    <w:rsid w:val="006170F6"/>
    <w:rsid w:val="00617FC3"/>
    <w:rsid w:val="00620D88"/>
    <w:rsid w:val="006252DD"/>
    <w:rsid w:val="006275C6"/>
    <w:rsid w:val="006354E4"/>
    <w:rsid w:val="00635E97"/>
    <w:rsid w:val="00637219"/>
    <w:rsid w:val="00640119"/>
    <w:rsid w:val="00645262"/>
    <w:rsid w:val="00646F76"/>
    <w:rsid w:val="00647AE3"/>
    <w:rsid w:val="006512A7"/>
    <w:rsid w:val="0065226A"/>
    <w:rsid w:val="00660672"/>
    <w:rsid w:val="00670EF8"/>
    <w:rsid w:val="00671804"/>
    <w:rsid w:val="00687296"/>
    <w:rsid w:val="006905A6"/>
    <w:rsid w:val="00691507"/>
    <w:rsid w:val="00693B7C"/>
    <w:rsid w:val="00693FEB"/>
    <w:rsid w:val="006A1DF6"/>
    <w:rsid w:val="006A1FAF"/>
    <w:rsid w:val="006A677C"/>
    <w:rsid w:val="006B0F62"/>
    <w:rsid w:val="006B2E82"/>
    <w:rsid w:val="006B5FA1"/>
    <w:rsid w:val="006B738A"/>
    <w:rsid w:val="006C3954"/>
    <w:rsid w:val="006C64EF"/>
    <w:rsid w:val="006D05AD"/>
    <w:rsid w:val="006D22B9"/>
    <w:rsid w:val="006D2E23"/>
    <w:rsid w:val="006D795A"/>
    <w:rsid w:val="006E228E"/>
    <w:rsid w:val="006E6EF7"/>
    <w:rsid w:val="006E7752"/>
    <w:rsid w:val="006F417E"/>
    <w:rsid w:val="006F4311"/>
    <w:rsid w:val="006F4C1F"/>
    <w:rsid w:val="006F5304"/>
    <w:rsid w:val="00705198"/>
    <w:rsid w:val="00706955"/>
    <w:rsid w:val="00711961"/>
    <w:rsid w:val="0071365D"/>
    <w:rsid w:val="007157F6"/>
    <w:rsid w:val="00715FA0"/>
    <w:rsid w:val="0071735A"/>
    <w:rsid w:val="00721207"/>
    <w:rsid w:val="00721BFE"/>
    <w:rsid w:val="00723A88"/>
    <w:rsid w:val="00724650"/>
    <w:rsid w:val="007321E6"/>
    <w:rsid w:val="00740A59"/>
    <w:rsid w:val="007464A5"/>
    <w:rsid w:val="00747540"/>
    <w:rsid w:val="0075481A"/>
    <w:rsid w:val="00755FDF"/>
    <w:rsid w:val="00756EEC"/>
    <w:rsid w:val="00760973"/>
    <w:rsid w:val="0076694D"/>
    <w:rsid w:val="00766E27"/>
    <w:rsid w:val="00770CF8"/>
    <w:rsid w:val="007762B6"/>
    <w:rsid w:val="007778B5"/>
    <w:rsid w:val="007830EE"/>
    <w:rsid w:val="00784051"/>
    <w:rsid w:val="007848EC"/>
    <w:rsid w:val="00792B5D"/>
    <w:rsid w:val="0079587D"/>
    <w:rsid w:val="00796346"/>
    <w:rsid w:val="00796670"/>
    <w:rsid w:val="007A0A55"/>
    <w:rsid w:val="007B3C83"/>
    <w:rsid w:val="007B5894"/>
    <w:rsid w:val="007B6F01"/>
    <w:rsid w:val="007B739E"/>
    <w:rsid w:val="007C0B47"/>
    <w:rsid w:val="007C17C3"/>
    <w:rsid w:val="007D3413"/>
    <w:rsid w:val="007E1E36"/>
    <w:rsid w:val="007E2C45"/>
    <w:rsid w:val="007F0147"/>
    <w:rsid w:val="007F06F0"/>
    <w:rsid w:val="007F5D5F"/>
    <w:rsid w:val="00801D3E"/>
    <w:rsid w:val="00805BC1"/>
    <w:rsid w:val="00807DA4"/>
    <w:rsid w:val="00811820"/>
    <w:rsid w:val="008133EA"/>
    <w:rsid w:val="00816538"/>
    <w:rsid w:val="0081711C"/>
    <w:rsid w:val="00825D20"/>
    <w:rsid w:val="00827467"/>
    <w:rsid w:val="008303BB"/>
    <w:rsid w:val="00833EC2"/>
    <w:rsid w:val="008379DE"/>
    <w:rsid w:val="00844CB7"/>
    <w:rsid w:val="0084512D"/>
    <w:rsid w:val="00850DE4"/>
    <w:rsid w:val="00853822"/>
    <w:rsid w:val="00862F03"/>
    <w:rsid w:val="008633D5"/>
    <w:rsid w:val="00875451"/>
    <w:rsid w:val="008755FE"/>
    <w:rsid w:val="00882FA9"/>
    <w:rsid w:val="00887124"/>
    <w:rsid w:val="00887290"/>
    <w:rsid w:val="0088799C"/>
    <w:rsid w:val="008904D1"/>
    <w:rsid w:val="00890A78"/>
    <w:rsid w:val="00891DE9"/>
    <w:rsid w:val="00894BED"/>
    <w:rsid w:val="008A5071"/>
    <w:rsid w:val="008A542B"/>
    <w:rsid w:val="008B22F6"/>
    <w:rsid w:val="008B2BDA"/>
    <w:rsid w:val="008B3056"/>
    <w:rsid w:val="008D1629"/>
    <w:rsid w:val="008D3EDC"/>
    <w:rsid w:val="008D6229"/>
    <w:rsid w:val="008E1775"/>
    <w:rsid w:val="008E397B"/>
    <w:rsid w:val="008E76BC"/>
    <w:rsid w:val="008F7AEE"/>
    <w:rsid w:val="008F7EDF"/>
    <w:rsid w:val="00906107"/>
    <w:rsid w:val="0091349A"/>
    <w:rsid w:val="00921E3C"/>
    <w:rsid w:val="00923880"/>
    <w:rsid w:val="00924E87"/>
    <w:rsid w:val="0094185C"/>
    <w:rsid w:val="00942979"/>
    <w:rsid w:val="009450FE"/>
    <w:rsid w:val="00945508"/>
    <w:rsid w:val="009469EA"/>
    <w:rsid w:val="0095383C"/>
    <w:rsid w:val="00961E90"/>
    <w:rsid w:val="009644F4"/>
    <w:rsid w:val="00965305"/>
    <w:rsid w:val="009675BB"/>
    <w:rsid w:val="00967897"/>
    <w:rsid w:val="00971111"/>
    <w:rsid w:val="00985476"/>
    <w:rsid w:val="009859DD"/>
    <w:rsid w:val="00986C67"/>
    <w:rsid w:val="009900CE"/>
    <w:rsid w:val="00994BC3"/>
    <w:rsid w:val="009B0475"/>
    <w:rsid w:val="009C08EA"/>
    <w:rsid w:val="009C29BC"/>
    <w:rsid w:val="009D1A26"/>
    <w:rsid w:val="009D1B17"/>
    <w:rsid w:val="009D27D6"/>
    <w:rsid w:val="009D44E6"/>
    <w:rsid w:val="009D5267"/>
    <w:rsid w:val="009E6875"/>
    <w:rsid w:val="009E6FDC"/>
    <w:rsid w:val="009F12C6"/>
    <w:rsid w:val="009F1C1B"/>
    <w:rsid w:val="009F5E9F"/>
    <w:rsid w:val="009F6B9D"/>
    <w:rsid w:val="00A000B4"/>
    <w:rsid w:val="00A00CBE"/>
    <w:rsid w:val="00A063CE"/>
    <w:rsid w:val="00A16C5D"/>
    <w:rsid w:val="00A16F28"/>
    <w:rsid w:val="00A1719A"/>
    <w:rsid w:val="00A24979"/>
    <w:rsid w:val="00A27AAA"/>
    <w:rsid w:val="00A356F7"/>
    <w:rsid w:val="00A435B0"/>
    <w:rsid w:val="00A5266B"/>
    <w:rsid w:val="00A54CDF"/>
    <w:rsid w:val="00A55567"/>
    <w:rsid w:val="00A567DE"/>
    <w:rsid w:val="00A701E7"/>
    <w:rsid w:val="00A72246"/>
    <w:rsid w:val="00A7624E"/>
    <w:rsid w:val="00A8232F"/>
    <w:rsid w:val="00A84A31"/>
    <w:rsid w:val="00A8626E"/>
    <w:rsid w:val="00A879F5"/>
    <w:rsid w:val="00A909D6"/>
    <w:rsid w:val="00A93A54"/>
    <w:rsid w:val="00A9682C"/>
    <w:rsid w:val="00A97E40"/>
    <w:rsid w:val="00AA38FC"/>
    <w:rsid w:val="00AA682C"/>
    <w:rsid w:val="00AB58CD"/>
    <w:rsid w:val="00AC7851"/>
    <w:rsid w:val="00AD2A41"/>
    <w:rsid w:val="00AD6ED8"/>
    <w:rsid w:val="00AE2ED7"/>
    <w:rsid w:val="00AE5B5C"/>
    <w:rsid w:val="00AE7CC3"/>
    <w:rsid w:val="00AF1CE9"/>
    <w:rsid w:val="00AF32A7"/>
    <w:rsid w:val="00AF4EC6"/>
    <w:rsid w:val="00AF71AC"/>
    <w:rsid w:val="00B000C8"/>
    <w:rsid w:val="00B04567"/>
    <w:rsid w:val="00B04EEB"/>
    <w:rsid w:val="00B057C6"/>
    <w:rsid w:val="00B13948"/>
    <w:rsid w:val="00B15868"/>
    <w:rsid w:val="00B164BE"/>
    <w:rsid w:val="00B169C3"/>
    <w:rsid w:val="00B16F38"/>
    <w:rsid w:val="00B17B6B"/>
    <w:rsid w:val="00B217D5"/>
    <w:rsid w:val="00B24605"/>
    <w:rsid w:val="00B2577F"/>
    <w:rsid w:val="00B25893"/>
    <w:rsid w:val="00B259DD"/>
    <w:rsid w:val="00B260BC"/>
    <w:rsid w:val="00B310C2"/>
    <w:rsid w:val="00B32B5F"/>
    <w:rsid w:val="00B33601"/>
    <w:rsid w:val="00B34184"/>
    <w:rsid w:val="00B372E9"/>
    <w:rsid w:val="00B46F52"/>
    <w:rsid w:val="00B53F5C"/>
    <w:rsid w:val="00B57D90"/>
    <w:rsid w:val="00B61D94"/>
    <w:rsid w:val="00B62B39"/>
    <w:rsid w:val="00B71712"/>
    <w:rsid w:val="00B71F2A"/>
    <w:rsid w:val="00B72AD6"/>
    <w:rsid w:val="00B73639"/>
    <w:rsid w:val="00B745F2"/>
    <w:rsid w:val="00B757C2"/>
    <w:rsid w:val="00B76146"/>
    <w:rsid w:val="00B80258"/>
    <w:rsid w:val="00B84959"/>
    <w:rsid w:val="00B87CCB"/>
    <w:rsid w:val="00B94602"/>
    <w:rsid w:val="00B96AF2"/>
    <w:rsid w:val="00BA10DB"/>
    <w:rsid w:val="00BA5C59"/>
    <w:rsid w:val="00BB056B"/>
    <w:rsid w:val="00BB138D"/>
    <w:rsid w:val="00BB17C7"/>
    <w:rsid w:val="00BB397C"/>
    <w:rsid w:val="00BB7ADD"/>
    <w:rsid w:val="00BC2B34"/>
    <w:rsid w:val="00BC2E85"/>
    <w:rsid w:val="00BC4815"/>
    <w:rsid w:val="00BC50A9"/>
    <w:rsid w:val="00BC6020"/>
    <w:rsid w:val="00BC7A03"/>
    <w:rsid w:val="00BD4CBA"/>
    <w:rsid w:val="00BD6773"/>
    <w:rsid w:val="00BD7AA8"/>
    <w:rsid w:val="00BE12C9"/>
    <w:rsid w:val="00BE5E39"/>
    <w:rsid w:val="00BE6F76"/>
    <w:rsid w:val="00BE75C2"/>
    <w:rsid w:val="00BF24A0"/>
    <w:rsid w:val="00BF450E"/>
    <w:rsid w:val="00C04464"/>
    <w:rsid w:val="00C07CE8"/>
    <w:rsid w:val="00C176F1"/>
    <w:rsid w:val="00C234F6"/>
    <w:rsid w:val="00C23E25"/>
    <w:rsid w:val="00C265E9"/>
    <w:rsid w:val="00C30983"/>
    <w:rsid w:val="00C3162F"/>
    <w:rsid w:val="00C355FD"/>
    <w:rsid w:val="00C368BD"/>
    <w:rsid w:val="00C41307"/>
    <w:rsid w:val="00C41B7C"/>
    <w:rsid w:val="00C41D3C"/>
    <w:rsid w:val="00C421BD"/>
    <w:rsid w:val="00C448DB"/>
    <w:rsid w:val="00C45EA0"/>
    <w:rsid w:val="00C46350"/>
    <w:rsid w:val="00C50B7F"/>
    <w:rsid w:val="00C55D87"/>
    <w:rsid w:val="00C60F38"/>
    <w:rsid w:val="00C62E0B"/>
    <w:rsid w:val="00C6375B"/>
    <w:rsid w:val="00C649D1"/>
    <w:rsid w:val="00C6788A"/>
    <w:rsid w:val="00C73444"/>
    <w:rsid w:val="00C74F3F"/>
    <w:rsid w:val="00C76B16"/>
    <w:rsid w:val="00C77305"/>
    <w:rsid w:val="00C83121"/>
    <w:rsid w:val="00C85761"/>
    <w:rsid w:val="00C91A2D"/>
    <w:rsid w:val="00C91D69"/>
    <w:rsid w:val="00C9329F"/>
    <w:rsid w:val="00C93703"/>
    <w:rsid w:val="00CA23BF"/>
    <w:rsid w:val="00CA6396"/>
    <w:rsid w:val="00CB0BD3"/>
    <w:rsid w:val="00CB356A"/>
    <w:rsid w:val="00CD0785"/>
    <w:rsid w:val="00CD5F21"/>
    <w:rsid w:val="00CE12A3"/>
    <w:rsid w:val="00CE5ECA"/>
    <w:rsid w:val="00CF04A1"/>
    <w:rsid w:val="00CF21DE"/>
    <w:rsid w:val="00CF332A"/>
    <w:rsid w:val="00D07703"/>
    <w:rsid w:val="00D11AC7"/>
    <w:rsid w:val="00D125E2"/>
    <w:rsid w:val="00D13D74"/>
    <w:rsid w:val="00D158E4"/>
    <w:rsid w:val="00D22E31"/>
    <w:rsid w:val="00D262CC"/>
    <w:rsid w:val="00D274AC"/>
    <w:rsid w:val="00D31A21"/>
    <w:rsid w:val="00D3345F"/>
    <w:rsid w:val="00D346FF"/>
    <w:rsid w:val="00D416EB"/>
    <w:rsid w:val="00D4435D"/>
    <w:rsid w:val="00D45AF9"/>
    <w:rsid w:val="00D50E88"/>
    <w:rsid w:val="00D53573"/>
    <w:rsid w:val="00D536DE"/>
    <w:rsid w:val="00D53A77"/>
    <w:rsid w:val="00D60132"/>
    <w:rsid w:val="00D6086B"/>
    <w:rsid w:val="00D613EA"/>
    <w:rsid w:val="00D653C3"/>
    <w:rsid w:val="00D71211"/>
    <w:rsid w:val="00D73487"/>
    <w:rsid w:val="00D73836"/>
    <w:rsid w:val="00D75A76"/>
    <w:rsid w:val="00D75DC7"/>
    <w:rsid w:val="00D77F40"/>
    <w:rsid w:val="00D81915"/>
    <w:rsid w:val="00D8253E"/>
    <w:rsid w:val="00D837E0"/>
    <w:rsid w:val="00D87D78"/>
    <w:rsid w:val="00D9423C"/>
    <w:rsid w:val="00DA4882"/>
    <w:rsid w:val="00DB2CFF"/>
    <w:rsid w:val="00DB3396"/>
    <w:rsid w:val="00DB429E"/>
    <w:rsid w:val="00DB5C4D"/>
    <w:rsid w:val="00DC027D"/>
    <w:rsid w:val="00DC1A27"/>
    <w:rsid w:val="00DC3A77"/>
    <w:rsid w:val="00DC585F"/>
    <w:rsid w:val="00DE081E"/>
    <w:rsid w:val="00DE5A90"/>
    <w:rsid w:val="00DF1562"/>
    <w:rsid w:val="00DF648C"/>
    <w:rsid w:val="00E02085"/>
    <w:rsid w:val="00E044A5"/>
    <w:rsid w:val="00E13787"/>
    <w:rsid w:val="00E169FF"/>
    <w:rsid w:val="00E2138E"/>
    <w:rsid w:val="00E26606"/>
    <w:rsid w:val="00E27FF3"/>
    <w:rsid w:val="00E33E47"/>
    <w:rsid w:val="00E37269"/>
    <w:rsid w:val="00E37BC2"/>
    <w:rsid w:val="00E37F3C"/>
    <w:rsid w:val="00E37F40"/>
    <w:rsid w:val="00E42C72"/>
    <w:rsid w:val="00E43990"/>
    <w:rsid w:val="00E45915"/>
    <w:rsid w:val="00E45DF8"/>
    <w:rsid w:val="00E502F9"/>
    <w:rsid w:val="00E511AB"/>
    <w:rsid w:val="00E53736"/>
    <w:rsid w:val="00E563AE"/>
    <w:rsid w:val="00E62059"/>
    <w:rsid w:val="00E64B67"/>
    <w:rsid w:val="00E72452"/>
    <w:rsid w:val="00E873DB"/>
    <w:rsid w:val="00E92896"/>
    <w:rsid w:val="00E979D8"/>
    <w:rsid w:val="00EA0A05"/>
    <w:rsid w:val="00EA15D4"/>
    <w:rsid w:val="00EA4646"/>
    <w:rsid w:val="00EA4A7B"/>
    <w:rsid w:val="00EA7BA8"/>
    <w:rsid w:val="00EB29E9"/>
    <w:rsid w:val="00EB6D16"/>
    <w:rsid w:val="00EC18B4"/>
    <w:rsid w:val="00ED63FD"/>
    <w:rsid w:val="00EE1B82"/>
    <w:rsid w:val="00EE1D09"/>
    <w:rsid w:val="00EE3629"/>
    <w:rsid w:val="00EE4893"/>
    <w:rsid w:val="00EF4783"/>
    <w:rsid w:val="00EF4E36"/>
    <w:rsid w:val="00F02500"/>
    <w:rsid w:val="00F06884"/>
    <w:rsid w:val="00F11C0D"/>
    <w:rsid w:val="00F13FAF"/>
    <w:rsid w:val="00F147B7"/>
    <w:rsid w:val="00F15E03"/>
    <w:rsid w:val="00F2436E"/>
    <w:rsid w:val="00F26C4F"/>
    <w:rsid w:val="00F33C49"/>
    <w:rsid w:val="00F40D59"/>
    <w:rsid w:val="00F41438"/>
    <w:rsid w:val="00F51D24"/>
    <w:rsid w:val="00F53185"/>
    <w:rsid w:val="00F62EB9"/>
    <w:rsid w:val="00F66492"/>
    <w:rsid w:val="00F72925"/>
    <w:rsid w:val="00F73051"/>
    <w:rsid w:val="00F75256"/>
    <w:rsid w:val="00F81C05"/>
    <w:rsid w:val="00F82433"/>
    <w:rsid w:val="00F8263D"/>
    <w:rsid w:val="00F82A38"/>
    <w:rsid w:val="00F92761"/>
    <w:rsid w:val="00F93BAB"/>
    <w:rsid w:val="00F94B06"/>
    <w:rsid w:val="00F96244"/>
    <w:rsid w:val="00FA383D"/>
    <w:rsid w:val="00FA415E"/>
    <w:rsid w:val="00FA5A02"/>
    <w:rsid w:val="00FA5E51"/>
    <w:rsid w:val="00FB08D3"/>
    <w:rsid w:val="00FB1C5C"/>
    <w:rsid w:val="00FB3E09"/>
    <w:rsid w:val="00FB602F"/>
    <w:rsid w:val="00FB64E1"/>
    <w:rsid w:val="00FC06B4"/>
    <w:rsid w:val="00FC1E22"/>
    <w:rsid w:val="00FC67EF"/>
    <w:rsid w:val="00FD24B2"/>
    <w:rsid w:val="00FE50AB"/>
    <w:rsid w:val="00FE5425"/>
    <w:rsid w:val="00FF0A01"/>
    <w:rsid w:val="00FF2795"/>
    <w:rsid w:val="00FF3415"/>
    <w:rsid w:val="00FF75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13FF"/>
  <w15:docId w15:val="{A59D4451-107E-4B8C-8537-4149FD62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3C64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3C648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C831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6D2E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200" w:line="276" w:lineRule="auto"/>
    </w:pPr>
    <w:rPr>
      <w:rFonts w:ascii="Calibri" w:eastAsia="Calibri" w:hAnsi="Calibri" w:cs="Times New Roman"/>
      <w:lang w:eastAsia="en-US"/>
    </w:rPr>
  </w:style>
  <w:style w:type="character" w:customStyle="1" w:styleId="CabealhoChar">
    <w:name w:val="Cabeçalho Char"/>
    <w:basedOn w:val="Fontepargpadro"/>
    <w:uiPriority w:val="99"/>
  </w:style>
  <w:style w:type="character" w:customStyle="1" w:styleId="RodapChar">
    <w:name w:val="Rodapé Char"/>
    <w:basedOn w:val="Fontepargpadro"/>
    <w:uiPriority w:val="99"/>
  </w:style>
  <w:style w:type="character" w:customStyle="1" w:styleId="LinkdaInternet">
    <w:name w:val="Link da Internet"/>
    <w:rPr>
      <w:color w:val="000000"/>
      <w:u w:val="none"/>
      <w:effect w:val="none"/>
      <w:lang w:val="pt-BR" w:eastAsia="pt-BR" w:bidi="pt-BR"/>
    </w:rPr>
  </w:style>
  <w:style w:type="character" w:customStyle="1" w:styleId="TextodebaloChar">
    <w:name w:val="Texto de balão Char"/>
    <w:basedOn w:val="Fontepargpadro"/>
    <w:uiPriority w:val="99"/>
    <w:rPr>
      <w:rFonts w:ascii="Tahoma" w:hAnsi="Tahoma" w:cs="Tahoma"/>
      <w:sz w:val="16"/>
      <w:szCs w:val="16"/>
      <w:lang w:eastAsia="en-US"/>
    </w:rPr>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link w:val="CorpodetextoChar"/>
    <w:uiPriority w:val="1"/>
    <w:qFormat/>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Cabealho">
    <w:name w:val="header"/>
    <w:basedOn w:val="Padro"/>
    <w:uiPriority w:val="99"/>
    <w:pPr>
      <w:suppressLineNumbers/>
      <w:tabs>
        <w:tab w:val="center" w:pos="4252"/>
        <w:tab w:val="right" w:pos="8504"/>
      </w:tabs>
      <w:spacing w:after="0" w:line="100" w:lineRule="atLeast"/>
    </w:pPr>
  </w:style>
  <w:style w:type="paragraph" w:styleId="Rodap">
    <w:name w:val="footer"/>
    <w:basedOn w:val="Padro"/>
    <w:uiPriority w:val="99"/>
    <w:pPr>
      <w:suppressLineNumbers/>
      <w:tabs>
        <w:tab w:val="center" w:pos="4252"/>
        <w:tab w:val="right" w:pos="8504"/>
      </w:tabs>
      <w:spacing w:after="0" w:line="100" w:lineRule="atLeast"/>
    </w:pPr>
  </w:style>
  <w:style w:type="paragraph" w:styleId="NormalWeb">
    <w:name w:val="Normal (Web)"/>
    <w:basedOn w:val="Padro"/>
    <w:uiPriority w:val="99"/>
    <w:pPr>
      <w:spacing w:before="28" w:after="28" w:line="100" w:lineRule="atLeast"/>
    </w:pPr>
    <w:rPr>
      <w:rFonts w:ascii="Times New Roman" w:eastAsia="Times New Roman" w:hAnsi="Times New Roman"/>
      <w:sz w:val="24"/>
      <w:szCs w:val="24"/>
      <w:lang w:val="en-US"/>
    </w:rPr>
  </w:style>
  <w:style w:type="paragraph" w:styleId="Textodebalo">
    <w:name w:val="Balloon Text"/>
    <w:basedOn w:val="Padro"/>
    <w:uiPriority w:val="99"/>
    <w:pPr>
      <w:spacing w:after="0" w:line="100" w:lineRule="atLeast"/>
    </w:pPr>
    <w:rPr>
      <w:rFonts w:ascii="Tahoma" w:hAnsi="Tahoma" w:cs="Tahoma"/>
      <w:sz w:val="16"/>
      <w:szCs w:val="16"/>
    </w:rPr>
  </w:style>
  <w:style w:type="character" w:styleId="Hyperlink">
    <w:name w:val="Hyperlink"/>
    <w:basedOn w:val="Fontepargpadro"/>
    <w:uiPriority w:val="99"/>
    <w:unhideWhenUsed/>
    <w:rsid w:val="00E92896"/>
    <w:rPr>
      <w:color w:val="0563C1" w:themeColor="hyperlink"/>
      <w:u w:val="single"/>
    </w:rPr>
  </w:style>
  <w:style w:type="table" w:styleId="Tabelacomgrade">
    <w:name w:val="Table Grid"/>
    <w:basedOn w:val="Tabelanormal"/>
    <w:uiPriority w:val="39"/>
    <w:rsid w:val="00A2497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94BED"/>
    <w:rPr>
      <w:color w:val="808080"/>
      <w:shd w:val="clear" w:color="auto" w:fill="E6E6E6"/>
    </w:rPr>
  </w:style>
  <w:style w:type="paragraph" w:styleId="PargrafodaLista">
    <w:name w:val="List Paragraph"/>
    <w:basedOn w:val="Normal"/>
    <w:link w:val="PargrafodaListaChar"/>
    <w:uiPriority w:val="34"/>
    <w:qFormat/>
    <w:rsid w:val="0047329B"/>
    <w:pPr>
      <w:widowControl w:val="0"/>
      <w:autoSpaceDE w:val="0"/>
      <w:autoSpaceDN w:val="0"/>
      <w:spacing w:after="0" w:line="240" w:lineRule="auto"/>
    </w:pPr>
    <w:rPr>
      <w:rFonts w:ascii="Times New Roman" w:eastAsia="Times New Roman" w:hAnsi="Times New Roman" w:cs="Times New Roman"/>
      <w:lang w:bidi="pt-BR"/>
    </w:rPr>
  </w:style>
  <w:style w:type="paragraph" w:styleId="Textodenotaderodap">
    <w:name w:val="footnote text"/>
    <w:aliases w:val="Char Char, Char Char Char,Nota de rodapé, Char Char, Char Char Char Char Char Char Char, Char Char Char Char Char, Char Char Char1, Char Char Char Char Char Char Char Char, Char Char Char Char Char Char Char1,fn,Footnotes"/>
    <w:basedOn w:val="Normal"/>
    <w:link w:val="TextodenotaderodapChar"/>
    <w:uiPriority w:val="99"/>
    <w:unhideWhenUsed/>
    <w:qFormat/>
    <w:rsid w:val="0047329B"/>
    <w:pPr>
      <w:widowControl w:val="0"/>
      <w:autoSpaceDE w:val="0"/>
      <w:autoSpaceDN w:val="0"/>
      <w:spacing w:after="0" w:line="240" w:lineRule="auto"/>
    </w:pPr>
    <w:rPr>
      <w:rFonts w:ascii="Times New Roman" w:eastAsia="Times New Roman" w:hAnsi="Times New Roman" w:cs="Times New Roman"/>
      <w:sz w:val="20"/>
      <w:szCs w:val="20"/>
      <w:lang w:bidi="pt-BR"/>
    </w:rPr>
  </w:style>
  <w:style w:type="character" w:customStyle="1" w:styleId="TextodenotaderodapChar">
    <w:name w:val="Texto de nota de rodapé Char"/>
    <w:aliases w:val="Char Char Char, Char Char Char Char,Nota de rodapé Char, Char Char Char2, Char Char Char Char Char Char Char Char1, Char Char Char Char Char Char, Char Char Char1 Char, Char Char Char Char Char Char Char Char Char,fn Char"/>
    <w:basedOn w:val="Fontepargpadro"/>
    <w:link w:val="Textodenotaderodap"/>
    <w:uiPriority w:val="99"/>
    <w:qFormat/>
    <w:rsid w:val="0047329B"/>
    <w:rPr>
      <w:rFonts w:ascii="Times New Roman" w:eastAsia="Times New Roman" w:hAnsi="Times New Roman" w:cs="Times New Roman"/>
      <w:sz w:val="20"/>
      <w:szCs w:val="20"/>
      <w:lang w:bidi="pt-BR"/>
    </w:rPr>
  </w:style>
  <w:style w:type="character" w:styleId="Refdenotaderodap">
    <w:name w:val="footnote reference"/>
    <w:aliases w:val="sobrescrito,Ref,de nota al pie,ftref,Footnote Reference_LVL6,Referência de rodapé,Nota de rodapé LRB,Ref. de nota de rodapé1"/>
    <w:basedOn w:val="Fontepargpadro"/>
    <w:unhideWhenUsed/>
    <w:qFormat/>
    <w:rsid w:val="0047329B"/>
    <w:rPr>
      <w:vertAlign w:val="superscript"/>
    </w:rPr>
  </w:style>
  <w:style w:type="character" w:customStyle="1" w:styleId="PargrafodaListaChar">
    <w:name w:val="Parágrafo da Lista Char"/>
    <w:basedOn w:val="Fontepargpadro"/>
    <w:link w:val="PargrafodaLista"/>
    <w:uiPriority w:val="34"/>
    <w:qFormat/>
    <w:rsid w:val="0047329B"/>
    <w:rPr>
      <w:rFonts w:ascii="Times New Roman" w:eastAsia="Times New Roman" w:hAnsi="Times New Roman" w:cs="Times New Roman"/>
      <w:lang w:bidi="pt-BR"/>
    </w:rPr>
  </w:style>
  <w:style w:type="character" w:styleId="MenoPendente">
    <w:name w:val="Unresolved Mention"/>
    <w:basedOn w:val="Fontepargpadro"/>
    <w:uiPriority w:val="99"/>
    <w:semiHidden/>
    <w:unhideWhenUsed/>
    <w:rsid w:val="0071735A"/>
    <w:rPr>
      <w:color w:val="605E5C"/>
      <w:shd w:val="clear" w:color="auto" w:fill="E1DFDD"/>
    </w:rPr>
  </w:style>
  <w:style w:type="character" w:customStyle="1" w:styleId="Ttulo4Char">
    <w:name w:val="Título 4 Char"/>
    <w:basedOn w:val="Fontepargpadro"/>
    <w:link w:val="Ttulo4"/>
    <w:uiPriority w:val="9"/>
    <w:rsid w:val="006D2E23"/>
    <w:rPr>
      <w:rFonts w:ascii="Times New Roman" w:eastAsia="Times New Roman" w:hAnsi="Times New Roman" w:cs="Times New Roman"/>
      <w:b/>
      <w:bCs/>
      <w:sz w:val="24"/>
      <w:szCs w:val="24"/>
    </w:rPr>
  </w:style>
  <w:style w:type="character" w:customStyle="1" w:styleId="ng-star-inserted">
    <w:name w:val="ng-star-inserted"/>
    <w:basedOn w:val="Fontepargpadro"/>
    <w:rsid w:val="006D2E23"/>
  </w:style>
  <w:style w:type="character" w:styleId="Nmerodepgina">
    <w:name w:val="page number"/>
    <w:basedOn w:val="Fontepargpadro"/>
    <w:uiPriority w:val="99"/>
    <w:unhideWhenUsed/>
    <w:rsid w:val="00F81C05"/>
  </w:style>
  <w:style w:type="character" w:customStyle="1" w:styleId="Ttulo3Char">
    <w:name w:val="Título 3 Char"/>
    <w:basedOn w:val="Fontepargpadro"/>
    <w:link w:val="Ttulo3"/>
    <w:uiPriority w:val="9"/>
    <w:semiHidden/>
    <w:rsid w:val="00C83121"/>
    <w:rPr>
      <w:rFonts w:asciiTheme="majorHAnsi" w:eastAsiaTheme="majorEastAsia" w:hAnsiTheme="majorHAnsi" w:cstheme="majorBidi"/>
      <w:color w:val="1F4D78" w:themeColor="accent1" w:themeShade="7F"/>
      <w:sz w:val="24"/>
      <w:szCs w:val="24"/>
    </w:rPr>
  </w:style>
  <w:style w:type="character" w:customStyle="1" w:styleId="CorpodetextoChar">
    <w:name w:val="Corpo de texto Char"/>
    <w:basedOn w:val="Fontepargpadro"/>
    <w:link w:val="Corpodetexto"/>
    <w:uiPriority w:val="1"/>
    <w:rsid w:val="00CF04A1"/>
    <w:rPr>
      <w:rFonts w:ascii="Calibri" w:eastAsia="Calibri" w:hAnsi="Calibri" w:cs="Times New Roman"/>
      <w:lang w:eastAsia="en-US"/>
    </w:rPr>
  </w:style>
  <w:style w:type="paragraph" w:customStyle="1" w:styleId="LO-normal">
    <w:name w:val="LO-normal"/>
    <w:qFormat/>
    <w:rsid w:val="00CF04A1"/>
    <w:pPr>
      <w:suppressAutoHyphens/>
      <w:spacing w:after="0" w:line="276" w:lineRule="auto"/>
    </w:pPr>
    <w:rPr>
      <w:rFonts w:eastAsiaTheme="minorHAnsi"/>
      <w:lang w:val="en-US" w:eastAsia="en-US"/>
    </w:rPr>
  </w:style>
  <w:style w:type="character" w:customStyle="1" w:styleId="ncoradanotaderodap">
    <w:name w:val="Âncora da nota de rodapé"/>
    <w:rsid w:val="00CF04A1"/>
    <w:rPr>
      <w:vertAlign w:val="superscript"/>
    </w:rPr>
  </w:style>
  <w:style w:type="character" w:customStyle="1" w:styleId="Caracteresdenotaderodap">
    <w:name w:val="Caracteres de nota de rodapé"/>
    <w:qFormat/>
    <w:rsid w:val="00CF04A1"/>
  </w:style>
  <w:style w:type="character" w:styleId="nfase">
    <w:name w:val="Emphasis"/>
    <w:basedOn w:val="Fontepargpadro"/>
    <w:uiPriority w:val="20"/>
    <w:qFormat/>
    <w:rsid w:val="00CF04A1"/>
    <w:rPr>
      <w:i/>
      <w:iCs/>
    </w:rPr>
  </w:style>
  <w:style w:type="paragraph" w:customStyle="1" w:styleId="06-Pargrafodetexto-CLG">
    <w:name w:val="06 - Parágrafo de texto - CLG"/>
    <w:rsid w:val="00CF04A1"/>
    <w:pPr>
      <w:spacing w:after="360" w:line="240" w:lineRule="auto"/>
      <w:ind w:firstLine="1418"/>
      <w:jc w:val="both"/>
    </w:pPr>
    <w:rPr>
      <w:rFonts w:ascii="Times New Roman" w:eastAsia="Times New Roman" w:hAnsi="Times New Roman" w:cs="Times New Roman"/>
      <w:sz w:val="28"/>
      <w:szCs w:val="20"/>
    </w:rPr>
  </w:style>
  <w:style w:type="paragraph" w:customStyle="1" w:styleId="05-Citaolegal-linhasiniciais-CLG">
    <w:name w:val="05 - Citação legal - linhas iniciais - CLG"/>
    <w:link w:val="05-Citaolegal-linhasiniciais-CLGChar"/>
    <w:qFormat/>
    <w:rsid w:val="00CF04A1"/>
    <w:pPr>
      <w:spacing w:after="120" w:line="240" w:lineRule="auto"/>
      <w:ind w:left="1985" w:firstLine="567"/>
      <w:jc w:val="both"/>
    </w:pPr>
    <w:rPr>
      <w:rFonts w:ascii="Times New Roman" w:eastAsia="Times New Roman" w:hAnsi="Times New Roman" w:cs="Times New Roman"/>
      <w:bCs/>
      <w:sz w:val="24"/>
      <w:szCs w:val="20"/>
    </w:rPr>
  </w:style>
  <w:style w:type="paragraph" w:customStyle="1" w:styleId="06-Citaolegal-linhafinal-CLG">
    <w:name w:val="06 - Citação legal - linha final - CLG"/>
    <w:link w:val="06-Citaolegal-linhafinal-CLGChar"/>
    <w:qFormat/>
    <w:rsid w:val="00CF04A1"/>
    <w:pPr>
      <w:spacing w:after="480" w:line="240" w:lineRule="auto"/>
      <w:ind w:left="1985" w:firstLine="567"/>
      <w:jc w:val="both"/>
    </w:pPr>
    <w:rPr>
      <w:rFonts w:ascii="Times New Roman" w:eastAsia="Times New Roman" w:hAnsi="Times New Roman" w:cs="Times New Roman"/>
      <w:sz w:val="24"/>
      <w:szCs w:val="20"/>
    </w:rPr>
  </w:style>
  <w:style w:type="character" w:customStyle="1" w:styleId="05-Citaolegal-linhasiniciais-CLGChar">
    <w:name w:val="05 - Citação legal - linhas iniciais - CLG Char"/>
    <w:basedOn w:val="Fontepargpadro"/>
    <w:link w:val="05-Citaolegal-linhasiniciais-CLG"/>
    <w:rsid w:val="00CF04A1"/>
    <w:rPr>
      <w:rFonts w:ascii="Times New Roman" w:eastAsia="Times New Roman" w:hAnsi="Times New Roman" w:cs="Times New Roman"/>
      <w:bCs/>
      <w:sz w:val="24"/>
      <w:szCs w:val="20"/>
    </w:rPr>
  </w:style>
  <w:style w:type="character" w:customStyle="1" w:styleId="06-Citaolegal-linhafinal-CLGChar">
    <w:name w:val="06 - Citação legal - linha final - CLG Char"/>
    <w:basedOn w:val="Fontepargpadro"/>
    <w:link w:val="06-Citaolegal-linhafinal-CLG"/>
    <w:rsid w:val="00CF04A1"/>
    <w:rPr>
      <w:rFonts w:ascii="Times New Roman" w:eastAsia="Times New Roman" w:hAnsi="Times New Roman" w:cs="Times New Roman"/>
      <w:sz w:val="24"/>
      <w:szCs w:val="20"/>
    </w:rPr>
  </w:style>
  <w:style w:type="paragraph" w:styleId="SemEspaamento">
    <w:name w:val="No Spacing"/>
    <w:uiPriority w:val="1"/>
    <w:qFormat/>
    <w:rsid w:val="00E37F3C"/>
    <w:pPr>
      <w:widowControl w:val="0"/>
      <w:autoSpaceDE w:val="0"/>
      <w:autoSpaceDN w:val="0"/>
      <w:spacing w:after="0" w:line="240" w:lineRule="auto"/>
    </w:pPr>
    <w:rPr>
      <w:rFonts w:ascii="Times New Roman" w:eastAsia="Times New Roman" w:hAnsi="Times New Roman" w:cs="Times New Roman"/>
      <w:lang w:bidi="pt-BR"/>
    </w:rPr>
  </w:style>
  <w:style w:type="character" w:styleId="Refdecomentrio">
    <w:name w:val="annotation reference"/>
    <w:basedOn w:val="Fontepargpadro"/>
    <w:uiPriority w:val="99"/>
    <w:semiHidden/>
    <w:unhideWhenUsed/>
    <w:rsid w:val="00AE7CC3"/>
    <w:rPr>
      <w:sz w:val="16"/>
      <w:szCs w:val="16"/>
    </w:rPr>
  </w:style>
  <w:style w:type="paragraph" w:styleId="Textodecomentrio">
    <w:name w:val="annotation text"/>
    <w:basedOn w:val="Normal"/>
    <w:link w:val="TextodecomentrioChar"/>
    <w:uiPriority w:val="99"/>
    <w:semiHidden/>
    <w:unhideWhenUsed/>
    <w:rsid w:val="00AE7CC3"/>
    <w:pPr>
      <w:widowControl w:val="0"/>
      <w:autoSpaceDE w:val="0"/>
      <w:autoSpaceDN w:val="0"/>
      <w:spacing w:after="0" w:line="240" w:lineRule="auto"/>
    </w:pPr>
    <w:rPr>
      <w:rFonts w:ascii="Times New Roman" w:eastAsia="Times New Roman" w:hAnsi="Times New Roman" w:cs="Times New Roman"/>
      <w:sz w:val="20"/>
      <w:szCs w:val="20"/>
      <w:lang w:bidi="pt-BR"/>
    </w:rPr>
  </w:style>
  <w:style w:type="character" w:customStyle="1" w:styleId="TextodecomentrioChar">
    <w:name w:val="Texto de comentário Char"/>
    <w:basedOn w:val="Fontepargpadro"/>
    <w:link w:val="Textodecomentrio"/>
    <w:uiPriority w:val="99"/>
    <w:semiHidden/>
    <w:rsid w:val="00AE7CC3"/>
    <w:rPr>
      <w:rFonts w:ascii="Times New Roman" w:eastAsia="Times New Roman" w:hAnsi="Times New Roman" w:cs="Times New Roman"/>
      <w:sz w:val="20"/>
      <w:szCs w:val="20"/>
      <w:lang w:bidi="pt-BR"/>
    </w:rPr>
  </w:style>
  <w:style w:type="character" w:customStyle="1" w:styleId="Ttulo1Char">
    <w:name w:val="Título 1 Char"/>
    <w:basedOn w:val="Fontepargpadro"/>
    <w:link w:val="Ttulo1"/>
    <w:uiPriority w:val="9"/>
    <w:rsid w:val="003C6482"/>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3C6482"/>
    <w:rPr>
      <w:rFonts w:asciiTheme="majorHAnsi" w:eastAsiaTheme="majorEastAsia" w:hAnsiTheme="majorHAnsi" w:cstheme="majorBidi"/>
      <w:color w:val="2E74B5" w:themeColor="accent1" w:themeShade="BF"/>
      <w:sz w:val="26"/>
      <w:szCs w:val="26"/>
    </w:rPr>
  </w:style>
  <w:style w:type="paragraph" w:customStyle="1" w:styleId="Corpo">
    <w:name w:val="Corpo"/>
    <w:rsid w:val="003C6482"/>
    <w:pPr>
      <w:spacing w:after="0" w:line="240" w:lineRule="auto"/>
    </w:pPr>
    <w:rPr>
      <w:rFonts w:ascii="Helvetica Neue" w:eastAsia="Arial Unicode MS" w:hAnsi="Helvetica Neue" w:cs="Arial Unicode MS"/>
      <w:color w:val="000000"/>
      <w:lang w:val="pt-PT"/>
    </w:rPr>
  </w:style>
  <w:style w:type="character" w:customStyle="1" w:styleId="Nenhum">
    <w:name w:val="Nenhum"/>
    <w:rsid w:val="003C6482"/>
  </w:style>
  <w:style w:type="paragraph" w:styleId="Reviso">
    <w:name w:val="Revision"/>
    <w:hidden/>
    <w:uiPriority w:val="99"/>
    <w:semiHidden/>
    <w:rsid w:val="003C648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B72AD6"/>
    <w:pPr>
      <w:widowControl/>
      <w:autoSpaceDE/>
      <w:autoSpaceDN/>
      <w:spacing w:after="160"/>
    </w:pPr>
    <w:rPr>
      <w:rFonts w:asciiTheme="minorHAnsi" w:eastAsiaTheme="minorEastAsia" w:hAnsiTheme="minorHAnsi" w:cstheme="minorBidi"/>
      <w:b/>
      <w:bCs/>
      <w:lang w:bidi="ar-SA"/>
    </w:rPr>
  </w:style>
  <w:style w:type="character" w:customStyle="1" w:styleId="AssuntodocomentrioChar">
    <w:name w:val="Assunto do comentário Char"/>
    <w:basedOn w:val="TextodecomentrioChar"/>
    <w:link w:val="Assuntodocomentrio"/>
    <w:uiPriority w:val="99"/>
    <w:semiHidden/>
    <w:rsid w:val="00B72AD6"/>
    <w:rPr>
      <w:rFonts w:ascii="Times New Roman" w:eastAsia="Times New Roman" w:hAnsi="Times New Roman" w:cs="Times New Roman"/>
      <w:b/>
      <w:bCs/>
      <w:sz w:val="20"/>
      <w:szCs w:val="20"/>
      <w:lang w:bidi="pt-BR"/>
    </w:rPr>
  </w:style>
  <w:style w:type="paragraph" w:customStyle="1" w:styleId="Default">
    <w:name w:val="Default"/>
    <w:rsid w:val="00706955"/>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artigo">
    <w:name w:val="artigo"/>
    <w:basedOn w:val="Normal"/>
    <w:rsid w:val="00F82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0939">
      <w:bodyDiv w:val="1"/>
      <w:marLeft w:val="0"/>
      <w:marRight w:val="0"/>
      <w:marTop w:val="0"/>
      <w:marBottom w:val="0"/>
      <w:divBdr>
        <w:top w:val="none" w:sz="0" w:space="0" w:color="auto"/>
        <w:left w:val="none" w:sz="0" w:space="0" w:color="auto"/>
        <w:bottom w:val="none" w:sz="0" w:space="0" w:color="auto"/>
        <w:right w:val="none" w:sz="0" w:space="0" w:color="auto"/>
      </w:divBdr>
    </w:div>
    <w:div w:id="49349090">
      <w:bodyDiv w:val="1"/>
      <w:marLeft w:val="0"/>
      <w:marRight w:val="0"/>
      <w:marTop w:val="0"/>
      <w:marBottom w:val="0"/>
      <w:divBdr>
        <w:top w:val="none" w:sz="0" w:space="0" w:color="auto"/>
        <w:left w:val="none" w:sz="0" w:space="0" w:color="auto"/>
        <w:bottom w:val="none" w:sz="0" w:space="0" w:color="auto"/>
        <w:right w:val="none" w:sz="0" w:space="0" w:color="auto"/>
      </w:divBdr>
      <w:divsChild>
        <w:div w:id="1114400905">
          <w:marLeft w:val="0"/>
          <w:marRight w:val="0"/>
          <w:marTop w:val="0"/>
          <w:marBottom w:val="300"/>
          <w:divBdr>
            <w:top w:val="none" w:sz="0" w:space="0" w:color="auto"/>
            <w:left w:val="none" w:sz="0" w:space="0" w:color="auto"/>
            <w:bottom w:val="none" w:sz="0" w:space="0" w:color="auto"/>
            <w:right w:val="none" w:sz="0" w:space="0" w:color="auto"/>
          </w:divBdr>
          <w:divsChild>
            <w:div w:id="1191601337">
              <w:marLeft w:val="0"/>
              <w:marRight w:val="0"/>
              <w:marTop w:val="0"/>
              <w:marBottom w:val="0"/>
              <w:divBdr>
                <w:top w:val="none" w:sz="0" w:space="0" w:color="auto"/>
                <w:left w:val="none" w:sz="0" w:space="0" w:color="auto"/>
                <w:bottom w:val="none" w:sz="0" w:space="0" w:color="auto"/>
                <w:right w:val="none" w:sz="0" w:space="0" w:color="auto"/>
              </w:divBdr>
              <w:divsChild>
                <w:div w:id="5090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6891">
          <w:marLeft w:val="0"/>
          <w:marRight w:val="0"/>
          <w:marTop w:val="0"/>
          <w:marBottom w:val="300"/>
          <w:divBdr>
            <w:top w:val="none" w:sz="0" w:space="0" w:color="auto"/>
            <w:left w:val="none" w:sz="0" w:space="0" w:color="auto"/>
            <w:bottom w:val="none" w:sz="0" w:space="0" w:color="auto"/>
            <w:right w:val="none" w:sz="0" w:space="0" w:color="auto"/>
          </w:divBdr>
          <w:divsChild>
            <w:div w:id="2043312635">
              <w:marLeft w:val="0"/>
              <w:marRight w:val="0"/>
              <w:marTop w:val="0"/>
              <w:marBottom w:val="0"/>
              <w:divBdr>
                <w:top w:val="none" w:sz="0" w:space="0" w:color="auto"/>
                <w:left w:val="none" w:sz="0" w:space="0" w:color="auto"/>
                <w:bottom w:val="none" w:sz="0" w:space="0" w:color="auto"/>
                <w:right w:val="none" w:sz="0" w:space="0" w:color="auto"/>
              </w:divBdr>
            </w:div>
          </w:divsChild>
        </w:div>
        <w:div w:id="307632528">
          <w:marLeft w:val="0"/>
          <w:marRight w:val="0"/>
          <w:marTop w:val="0"/>
          <w:marBottom w:val="300"/>
          <w:divBdr>
            <w:top w:val="none" w:sz="0" w:space="0" w:color="auto"/>
            <w:left w:val="none" w:sz="0" w:space="0" w:color="auto"/>
            <w:bottom w:val="none" w:sz="0" w:space="0" w:color="auto"/>
            <w:right w:val="none" w:sz="0" w:space="0" w:color="auto"/>
          </w:divBdr>
          <w:divsChild>
            <w:div w:id="1529368672">
              <w:marLeft w:val="0"/>
              <w:marRight w:val="0"/>
              <w:marTop w:val="0"/>
              <w:marBottom w:val="0"/>
              <w:divBdr>
                <w:top w:val="none" w:sz="0" w:space="0" w:color="auto"/>
                <w:left w:val="none" w:sz="0" w:space="0" w:color="auto"/>
                <w:bottom w:val="none" w:sz="0" w:space="0" w:color="auto"/>
                <w:right w:val="none" w:sz="0" w:space="0" w:color="auto"/>
              </w:divBdr>
            </w:div>
          </w:divsChild>
        </w:div>
        <w:div w:id="1742021156">
          <w:marLeft w:val="0"/>
          <w:marRight w:val="0"/>
          <w:marTop w:val="0"/>
          <w:marBottom w:val="300"/>
          <w:divBdr>
            <w:top w:val="none" w:sz="0" w:space="0" w:color="auto"/>
            <w:left w:val="none" w:sz="0" w:space="0" w:color="auto"/>
            <w:bottom w:val="none" w:sz="0" w:space="0" w:color="auto"/>
            <w:right w:val="none" w:sz="0" w:space="0" w:color="auto"/>
          </w:divBdr>
          <w:divsChild>
            <w:div w:id="865143915">
              <w:marLeft w:val="0"/>
              <w:marRight w:val="0"/>
              <w:marTop w:val="0"/>
              <w:marBottom w:val="0"/>
              <w:divBdr>
                <w:top w:val="none" w:sz="0" w:space="0" w:color="auto"/>
                <w:left w:val="none" w:sz="0" w:space="0" w:color="auto"/>
                <w:bottom w:val="none" w:sz="0" w:space="0" w:color="auto"/>
                <w:right w:val="none" w:sz="0" w:space="0" w:color="auto"/>
              </w:divBdr>
            </w:div>
          </w:divsChild>
        </w:div>
        <w:div w:id="959146946">
          <w:marLeft w:val="0"/>
          <w:marRight w:val="0"/>
          <w:marTop w:val="0"/>
          <w:marBottom w:val="300"/>
          <w:divBdr>
            <w:top w:val="none" w:sz="0" w:space="0" w:color="auto"/>
            <w:left w:val="none" w:sz="0" w:space="0" w:color="auto"/>
            <w:bottom w:val="none" w:sz="0" w:space="0" w:color="auto"/>
            <w:right w:val="none" w:sz="0" w:space="0" w:color="auto"/>
          </w:divBdr>
          <w:divsChild>
            <w:div w:id="1196387977">
              <w:marLeft w:val="0"/>
              <w:marRight w:val="0"/>
              <w:marTop w:val="0"/>
              <w:marBottom w:val="0"/>
              <w:divBdr>
                <w:top w:val="none" w:sz="0" w:space="0" w:color="auto"/>
                <w:left w:val="none" w:sz="0" w:space="0" w:color="auto"/>
                <w:bottom w:val="none" w:sz="0" w:space="0" w:color="auto"/>
                <w:right w:val="none" w:sz="0" w:space="0" w:color="auto"/>
              </w:divBdr>
            </w:div>
          </w:divsChild>
        </w:div>
        <w:div w:id="97600484">
          <w:marLeft w:val="0"/>
          <w:marRight w:val="0"/>
          <w:marTop w:val="0"/>
          <w:marBottom w:val="300"/>
          <w:divBdr>
            <w:top w:val="none" w:sz="0" w:space="0" w:color="auto"/>
            <w:left w:val="none" w:sz="0" w:space="0" w:color="auto"/>
            <w:bottom w:val="none" w:sz="0" w:space="0" w:color="auto"/>
            <w:right w:val="none" w:sz="0" w:space="0" w:color="auto"/>
          </w:divBdr>
          <w:divsChild>
            <w:div w:id="291987096">
              <w:marLeft w:val="0"/>
              <w:marRight w:val="0"/>
              <w:marTop w:val="0"/>
              <w:marBottom w:val="0"/>
              <w:divBdr>
                <w:top w:val="none" w:sz="0" w:space="0" w:color="auto"/>
                <w:left w:val="none" w:sz="0" w:space="0" w:color="auto"/>
                <w:bottom w:val="none" w:sz="0" w:space="0" w:color="auto"/>
                <w:right w:val="none" w:sz="0" w:space="0" w:color="auto"/>
              </w:divBdr>
            </w:div>
          </w:divsChild>
        </w:div>
        <w:div w:id="1018966552">
          <w:marLeft w:val="0"/>
          <w:marRight w:val="0"/>
          <w:marTop w:val="0"/>
          <w:marBottom w:val="300"/>
          <w:divBdr>
            <w:top w:val="none" w:sz="0" w:space="0" w:color="auto"/>
            <w:left w:val="none" w:sz="0" w:space="0" w:color="auto"/>
            <w:bottom w:val="none" w:sz="0" w:space="0" w:color="auto"/>
            <w:right w:val="none" w:sz="0" w:space="0" w:color="auto"/>
          </w:divBdr>
          <w:divsChild>
            <w:div w:id="418135940">
              <w:marLeft w:val="0"/>
              <w:marRight w:val="0"/>
              <w:marTop w:val="0"/>
              <w:marBottom w:val="0"/>
              <w:divBdr>
                <w:top w:val="none" w:sz="0" w:space="0" w:color="auto"/>
                <w:left w:val="none" w:sz="0" w:space="0" w:color="auto"/>
                <w:bottom w:val="none" w:sz="0" w:space="0" w:color="auto"/>
                <w:right w:val="none" w:sz="0" w:space="0" w:color="auto"/>
              </w:divBdr>
            </w:div>
          </w:divsChild>
        </w:div>
        <w:div w:id="1314522747">
          <w:marLeft w:val="0"/>
          <w:marRight w:val="0"/>
          <w:marTop w:val="0"/>
          <w:marBottom w:val="300"/>
          <w:divBdr>
            <w:top w:val="none" w:sz="0" w:space="0" w:color="auto"/>
            <w:left w:val="none" w:sz="0" w:space="0" w:color="auto"/>
            <w:bottom w:val="none" w:sz="0" w:space="0" w:color="auto"/>
            <w:right w:val="none" w:sz="0" w:space="0" w:color="auto"/>
          </w:divBdr>
          <w:divsChild>
            <w:div w:id="1664162840">
              <w:marLeft w:val="0"/>
              <w:marRight w:val="0"/>
              <w:marTop w:val="0"/>
              <w:marBottom w:val="0"/>
              <w:divBdr>
                <w:top w:val="none" w:sz="0" w:space="0" w:color="auto"/>
                <w:left w:val="none" w:sz="0" w:space="0" w:color="auto"/>
                <w:bottom w:val="none" w:sz="0" w:space="0" w:color="auto"/>
                <w:right w:val="none" w:sz="0" w:space="0" w:color="auto"/>
              </w:divBdr>
            </w:div>
          </w:divsChild>
        </w:div>
        <w:div w:id="616838026">
          <w:marLeft w:val="0"/>
          <w:marRight w:val="0"/>
          <w:marTop w:val="0"/>
          <w:marBottom w:val="300"/>
          <w:divBdr>
            <w:top w:val="none" w:sz="0" w:space="0" w:color="auto"/>
            <w:left w:val="none" w:sz="0" w:space="0" w:color="auto"/>
            <w:bottom w:val="none" w:sz="0" w:space="0" w:color="auto"/>
            <w:right w:val="none" w:sz="0" w:space="0" w:color="auto"/>
          </w:divBdr>
          <w:divsChild>
            <w:div w:id="509176490">
              <w:marLeft w:val="0"/>
              <w:marRight w:val="0"/>
              <w:marTop w:val="0"/>
              <w:marBottom w:val="0"/>
              <w:divBdr>
                <w:top w:val="none" w:sz="0" w:space="0" w:color="auto"/>
                <w:left w:val="none" w:sz="0" w:space="0" w:color="auto"/>
                <w:bottom w:val="none" w:sz="0" w:space="0" w:color="auto"/>
                <w:right w:val="none" w:sz="0" w:space="0" w:color="auto"/>
              </w:divBdr>
            </w:div>
          </w:divsChild>
        </w:div>
        <w:div w:id="1012802980">
          <w:marLeft w:val="0"/>
          <w:marRight w:val="0"/>
          <w:marTop w:val="0"/>
          <w:marBottom w:val="300"/>
          <w:divBdr>
            <w:top w:val="none" w:sz="0" w:space="0" w:color="auto"/>
            <w:left w:val="none" w:sz="0" w:space="0" w:color="auto"/>
            <w:bottom w:val="none" w:sz="0" w:space="0" w:color="auto"/>
            <w:right w:val="none" w:sz="0" w:space="0" w:color="auto"/>
          </w:divBdr>
          <w:divsChild>
            <w:div w:id="1396124229">
              <w:marLeft w:val="0"/>
              <w:marRight w:val="0"/>
              <w:marTop w:val="0"/>
              <w:marBottom w:val="0"/>
              <w:divBdr>
                <w:top w:val="none" w:sz="0" w:space="0" w:color="auto"/>
                <w:left w:val="none" w:sz="0" w:space="0" w:color="auto"/>
                <w:bottom w:val="none" w:sz="0" w:space="0" w:color="auto"/>
                <w:right w:val="none" w:sz="0" w:space="0" w:color="auto"/>
              </w:divBdr>
            </w:div>
          </w:divsChild>
        </w:div>
        <w:div w:id="543061567">
          <w:marLeft w:val="0"/>
          <w:marRight w:val="0"/>
          <w:marTop w:val="0"/>
          <w:marBottom w:val="300"/>
          <w:divBdr>
            <w:top w:val="none" w:sz="0" w:space="0" w:color="auto"/>
            <w:left w:val="none" w:sz="0" w:space="0" w:color="auto"/>
            <w:bottom w:val="none" w:sz="0" w:space="0" w:color="auto"/>
            <w:right w:val="none" w:sz="0" w:space="0" w:color="auto"/>
          </w:divBdr>
          <w:divsChild>
            <w:div w:id="6054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3053">
      <w:bodyDiv w:val="1"/>
      <w:marLeft w:val="0"/>
      <w:marRight w:val="0"/>
      <w:marTop w:val="0"/>
      <w:marBottom w:val="0"/>
      <w:divBdr>
        <w:top w:val="none" w:sz="0" w:space="0" w:color="auto"/>
        <w:left w:val="none" w:sz="0" w:space="0" w:color="auto"/>
        <w:bottom w:val="none" w:sz="0" w:space="0" w:color="auto"/>
        <w:right w:val="none" w:sz="0" w:space="0" w:color="auto"/>
      </w:divBdr>
    </w:div>
    <w:div w:id="74858962">
      <w:bodyDiv w:val="1"/>
      <w:marLeft w:val="0"/>
      <w:marRight w:val="0"/>
      <w:marTop w:val="0"/>
      <w:marBottom w:val="0"/>
      <w:divBdr>
        <w:top w:val="none" w:sz="0" w:space="0" w:color="auto"/>
        <w:left w:val="none" w:sz="0" w:space="0" w:color="auto"/>
        <w:bottom w:val="none" w:sz="0" w:space="0" w:color="auto"/>
        <w:right w:val="none" w:sz="0" w:space="0" w:color="auto"/>
      </w:divBdr>
    </w:div>
    <w:div w:id="92477565">
      <w:bodyDiv w:val="1"/>
      <w:marLeft w:val="0"/>
      <w:marRight w:val="0"/>
      <w:marTop w:val="0"/>
      <w:marBottom w:val="0"/>
      <w:divBdr>
        <w:top w:val="none" w:sz="0" w:space="0" w:color="auto"/>
        <w:left w:val="none" w:sz="0" w:space="0" w:color="auto"/>
        <w:bottom w:val="none" w:sz="0" w:space="0" w:color="auto"/>
        <w:right w:val="none" w:sz="0" w:space="0" w:color="auto"/>
      </w:divBdr>
    </w:div>
    <w:div w:id="109589076">
      <w:bodyDiv w:val="1"/>
      <w:marLeft w:val="0"/>
      <w:marRight w:val="0"/>
      <w:marTop w:val="0"/>
      <w:marBottom w:val="0"/>
      <w:divBdr>
        <w:top w:val="none" w:sz="0" w:space="0" w:color="auto"/>
        <w:left w:val="none" w:sz="0" w:space="0" w:color="auto"/>
        <w:bottom w:val="none" w:sz="0" w:space="0" w:color="auto"/>
        <w:right w:val="none" w:sz="0" w:space="0" w:color="auto"/>
      </w:divBdr>
    </w:div>
    <w:div w:id="118765604">
      <w:bodyDiv w:val="1"/>
      <w:marLeft w:val="0"/>
      <w:marRight w:val="0"/>
      <w:marTop w:val="0"/>
      <w:marBottom w:val="0"/>
      <w:divBdr>
        <w:top w:val="none" w:sz="0" w:space="0" w:color="auto"/>
        <w:left w:val="none" w:sz="0" w:space="0" w:color="auto"/>
        <w:bottom w:val="none" w:sz="0" w:space="0" w:color="auto"/>
        <w:right w:val="none" w:sz="0" w:space="0" w:color="auto"/>
      </w:divBdr>
    </w:div>
    <w:div w:id="126708255">
      <w:bodyDiv w:val="1"/>
      <w:marLeft w:val="0"/>
      <w:marRight w:val="0"/>
      <w:marTop w:val="0"/>
      <w:marBottom w:val="0"/>
      <w:divBdr>
        <w:top w:val="none" w:sz="0" w:space="0" w:color="auto"/>
        <w:left w:val="none" w:sz="0" w:space="0" w:color="auto"/>
        <w:bottom w:val="none" w:sz="0" w:space="0" w:color="auto"/>
        <w:right w:val="none" w:sz="0" w:space="0" w:color="auto"/>
      </w:divBdr>
    </w:div>
    <w:div w:id="143786183">
      <w:bodyDiv w:val="1"/>
      <w:marLeft w:val="0"/>
      <w:marRight w:val="0"/>
      <w:marTop w:val="0"/>
      <w:marBottom w:val="0"/>
      <w:divBdr>
        <w:top w:val="none" w:sz="0" w:space="0" w:color="auto"/>
        <w:left w:val="none" w:sz="0" w:space="0" w:color="auto"/>
        <w:bottom w:val="none" w:sz="0" w:space="0" w:color="auto"/>
        <w:right w:val="none" w:sz="0" w:space="0" w:color="auto"/>
      </w:divBdr>
    </w:div>
    <w:div w:id="150148543">
      <w:bodyDiv w:val="1"/>
      <w:marLeft w:val="0"/>
      <w:marRight w:val="0"/>
      <w:marTop w:val="0"/>
      <w:marBottom w:val="0"/>
      <w:divBdr>
        <w:top w:val="none" w:sz="0" w:space="0" w:color="auto"/>
        <w:left w:val="none" w:sz="0" w:space="0" w:color="auto"/>
        <w:bottom w:val="none" w:sz="0" w:space="0" w:color="auto"/>
        <w:right w:val="none" w:sz="0" w:space="0" w:color="auto"/>
      </w:divBdr>
    </w:div>
    <w:div w:id="159200576">
      <w:bodyDiv w:val="1"/>
      <w:marLeft w:val="0"/>
      <w:marRight w:val="0"/>
      <w:marTop w:val="0"/>
      <w:marBottom w:val="0"/>
      <w:divBdr>
        <w:top w:val="none" w:sz="0" w:space="0" w:color="auto"/>
        <w:left w:val="none" w:sz="0" w:space="0" w:color="auto"/>
        <w:bottom w:val="none" w:sz="0" w:space="0" w:color="auto"/>
        <w:right w:val="none" w:sz="0" w:space="0" w:color="auto"/>
      </w:divBdr>
    </w:div>
    <w:div w:id="181169325">
      <w:bodyDiv w:val="1"/>
      <w:marLeft w:val="0"/>
      <w:marRight w:val="0"/>
      <w:marTop w:val="0"/>
      <w:marBottom w:val="0"/>
      <w:divBdr>
        <w:top w:val="none" w:sz="0" w:space="0" w:color="auto"/>
        <w:left w:val="none" w:sz="0" w:space="0" w:color="auto"/>
        <w:bottom w:val="none" w:sz="0" w:space="0" w:color="auto"/>
        <w:right w:val="none" w:sz="0" w:space="0" w:color="auto"/>
      </w:divBdr>
    </w:div>
    <w:div w:id="219949831">
      <w:bodyDiv w:val="1"/>
      <w:marLeft w:val="0"/>
      <w:marRight w:val="0"/>
      <w:marTop w:val="0"/>
      <w:marBottom w:val="0"/>
      <w:divBdr>
        <w:top w:val="none" w:sz="0" w:space="0" w:color="auto"/>
        <w:left w:val="none" w:sz="0" w:space="0" w:color="auto"/>
        <w:bottom w:val="none" w:sz="0" w:space="0" w:color="auto"/>
        <w:right w:val="none" w:sz="0" w:space="0" w:color="auto"/>
      </w:divBdr>
    </w:div>
    <w:div w:id="228620121">
      <w:bodyDiv w:val="1"/>
      <w:marLeft w:val="0"/>
      <w:marRight w:val="0"/>
      <w:marTop w:val="0"/>
      <w:marBottom w:val="0"/>
      <w:divBdr>
        <w:top w:val="none" w:sz="0" w:space="0" w:color="auto"/>
        <w:left w:val="none" w:sz="0" w:space="0" w:color="auto"/>
        <w:bottom w:val="none" w:sz="0" w:space="0" w:color="auto"/>
        <w:right w:val="none" w:sz="0" w:space="0" w:color="auto"/>
      </w:divBdr>
    </w:div>
    <w:div w:id="240994578">
      <w:bodyDiv w:val="1"/>
      <w:marLeft w:val="0"/>
      <w:marRight w:val="0"/>
      <w:marTop w:val="0"/>
      <w:marBottom w:val="0"/>
      <w:divBdr>
        <w:top w:val="none" w:sz="0" w:space="0" w:color="auto"/>
        <w:left w:val="none" w:sz="0" w:space="0" w:color="auto"/>
        <w:bottom w:val="none" w:sz="0" w:space="0" w:color="auto"/>
        <w:right w:val="none" w:sz="0" w:space="0" w:color="auto"/>
      </w:divBdr>
    </w:div>
    <w:div w:id="356277650">
      <w:bodyDiv w:val="1"/>
      <w:marLeft w:val="0"/>
      <w:marRight w:val="0"/>
      <w:marTop w:val="0"/>
      <w:marBottom w:val="0"/>
      <w:divBdr>
        <w:top w:val="none" w:sz="0" w:space="0" w:color="auto"/>
        <w:left w:val="none" w:sz="0" w:space="0" w:color="auto"/>
        <w:bottom w:val="none" w:sz="0" w:space="0" w:color="auto"/>
        <w:right w:val="none" w:sz="0" w:space="0" w:color="auto"/>
      </w:divBdr>
    </w:div>
    <w:div w:id="389109065">
      <w:bodyDiv w:val="1"/>
      <w:marLeft w:val="0"/>
      <w:marRight w:val="0"/>
      <w:marTop w:val="0"/>
      <w:marBottom w:val="0"/>
      <w:divBdr>
        <w:top w:val="none" w:sz="0" w:space="0" w:color="auto"/>
        <w:left w:val="none" w:sz="0" w:space="0" w:color="auto"/>
        <w:bottom w:val="none" w:sz="0" w:space="0" w:color="auto"/>
        <w:right w:val="none" w:sz="0" w:space="0" w:color="auto"/>
      </w:divBdr>
    </w:div>
    <w:div w:id="416558019">
      <w:bodyDiv w:val="1"/>
      <w:marLeft w:val="0"/>
      <w:marRight w:val="0"/>
      <w:marTop w:val="0"/>
      <w:marBottom w:val="0"/>
      <w:divBdr>
        <w:top w:val="none" w:sz="0" w:space="0" w:color="auto"/>
        <w:left w:val="none" w:sz="0" w:space="0" w:color="auto"/>
        <w:bottom w:val="none" w:sz="0" w:space="0" w:color="auto"/>
        <w:right w:val="none" w:sz="0" w:space="0" w:color="auto"/>
      </w:divBdr>
    </w:div>
    <w:div w:id="430586760">
      <w:bodyDiv w:val="1"/>
      <w:marLeft w:val="0"/>
      <w:marRight w:val="0"/>
      <w:marTop w:val="0"/>
      <w:marBottom w:val="0"/>
      <w:divBdr>
        <w:top w:val="none" w:sz="0" w:space="0" w:color="auto"/>
        <w:left w:val="none" w:sz="0" w:space="0" w:color="auto"/>
        <w:bottom w:val="none" w:sz="0" w:space="0" w:color="auto"/>
        <w:right w:val="none" w:sz="0" w:space="0" w:color="auto"/>
      </w:divBdr>
    </w:div>
    <w:div w:id="440761313">
      <w:bodyDiv w:val="1"/>
      <w:marLeft w:val="0"/>
      <w:marRight w:val="0"/>
      <w:marTop w:val="0"/>
      <w:marBottom w:val="0"/>
      <w:divBdr>
        <w:top w:val="none" w:sz="0" w:space="0" w:color="auto"/>
        <w:left w:val="none" w:sz="0" w:space="0" w:color="auto"/>
        <w:bottom w:val="none" w:sz="0" w:space="0" w:color="auto"/>
        <w:right w:val="none" w:sz="0" w:space="0" w:color="auto"/>
      </w:divBdr>
    </w:div>
    <w:div w:id="521286877">
      <w:bodyDiv w:val="1"/>
      <w:marLeft w:val="0"/>
      <w:marRight w:val="0"/>
      <w:marTop w:val="0"/>
      <w:marBottom w:val="0"/>
      <w:divBdr>
        <w:top w:val="none" w:sz="0" w:space="0" w:color="auto"/>
        <w:left w:val="none" w:sz="0" w:space="0" w:color="auto"/>
        <w:bottom w:val="none" w:sz="0" w:space="0" w:color="auto"/>
        <w:right w:val="none" w:sz="0" w:space="0" w:color="auto"/>
      </w:divBdr>
    </w:div>
    <w:div w:id="533620892">
      <w:bodyDiv w:val="1"/>
      <w:marLeft w:val="0"/>
      <w:marRight w:val="0"/>
      <w:marTop w:val="0"/>
      <w:marBottom w:val="0"/>
      <w:divBdr>
        <w:top w:val="none" w:sz="0" w:space="0" w:color="auto"/>
        <w:left w:val="none" w:sz="0" w:space="0" w:color="auto"/>
        <w:bottom w:val="none" w:sz="0" w:space="0" w:color="auto"/>
        <w:right w:val="none" w:sz="0" w:space="0" w:color="auto"/>
      </w:divBdr>
    </w:div>
    <w:div w:id="727188885">
      <w:bodyDiv w:val="1"/>
      <w:marLeft w:val="0"/>
      <w:marRight w:val="0"/>
      <w:marTop w:val="0"/>
      <w:marBottom w:val="0"/>
      <w:divBdr>
        <w:top w:val="none" w:sz="0" w:space="0" w:color="auto"/>
        <w:left w:val="none" w:sz="0" w:space="0" w:color="auto"/>
        <w:bottom w:val="none" w:sz="0" w:space="0" w:color="auto"/>
        <w:right w:val="none" w:sz="0" w:space="0" w:color="auto"/>
      </w:divBdr>
    </w:div>
    <w:div w:id="754018315">
      <w:bodyDiv w:val="1"/>
      <w:marLeft w:val="0"/>
      <w:marRight w:val="0"/>
      <w:marTop w:val="0"/>
      <w:marBottom w:val="0"/>
      <w:divBdr>
        <w:top w:val="none" w:sz="0" w:space="0" w:color="auto"/>
        <w:left w:val="none" w:sz="0" w:space="0" w:color="auto"/>
        <w:bottom w:val="none" w:sz="0" w:space="0" w:color="auto"/>
        <w:right w:val="none" w:sz="0" w:space="0" w:color="auto"/>
      </w:divBdr>
    </w:div>
    <w:div w:id="993292644">
      <w:bodyDiv w:val="1"/>
      <w:marLeft w:val="0"/>
      <w:marRight w:val="0"/>
      <w:marTop w:val="0"/>
      <w:marBottom w:val="0"/>
      <w:divBdr>
        <w:top w:val="none" w:sz="0" w:space="0" w:color="auto"/>
        <w:left w:val="none" w:sz="0" w:space="0" w:color="auto"/>
        <w:bottom w:val="none" w:sz="0" w:space="0" w:color="auto"/>
        <w:right w:val="none" w:sz="0" w:space="0" w:color="auto"/>
      </w:divBdr>
    </w:div>
    <w:div w:id="1001155321">
      <w:bodyDiv w:val="1"/>
      <w:marLeft w:val="0"/>
      <w:marRight w:val="0"/>
      <w:marTop w:val="0"/>
      <w:marBottom w:val="0"/>
      <w:divBdr>
        <w:top w:val="none" w:sz="0" w:space="0" w:color="auto"/>
        <w:left w:val="none" w:sz="0" w:space="0" w:color="auto"/>
        <w:bottom w:val="none" w:sz="0" w:space="0" w:color="auto"/>
        <w:right w:val="none" w:sz="0" w:space="0" w:color="auto"/>
      </w:divBdr>
    </w:div>
    <w:div w:id="1014385474">
      <w:bodyDiv w:val="1"/>
      <w:marLeft w:val="0"/>
      <w:marRight w:val="0"/>
      <w:marTop w:val="0"/>
      <w:marBottom w:val="0"/>
      <w:divBdr>
        <w:top w:val="none" w:sz="0" w:space="0" w:color="auto"/>
        <w:left w:val="none" w:sz="0" w:space="0" w:color="auto"/>
        <w:bottom w:val="none" w:sz="0" w:space="0" w:color="auto"/>
        <w:right w:val="none" w:sz="0" w:space="0" w:color="auto"/>
      </w:divBdr>
    </w:div>
    <w:div w:id="1033924519">
      <w:bodyDiv w:val="1"/>
      <w:marLeft w:val="0"/>
      <w:marRight w:val="0"/>
      <w:marTop w:val="0"/>
      <w:marBottom w:val="0"/>
      <w:divBdr>
        <w:top w:val="none" w:sz="0" w:space="0" w:color="auto"/>
        <w:left w:val="none" w:sz="0" w:space="0" w:color="auto"/>
        <w:bottom w:val="none" w:sz="0" w:space="0" w:color="auto"/>
        <w:right w:val="none" w:sz="0" w:space="0" w:color="auto"/>
      </w:divBdr>
    </w:div>
    <w:div w:id="1036124184">
      <w:bodyDiv w:val="1"/>
      <w:marLeft w:val="0"/>
      <w:marRight w:val="0"/>
      <w:marTop w:val="0"/>
      <w:marBottom w:val="0"/>
      <w:divBdr>
        <w:top w:val="none" w:sz="0" w:space="0" w:color="auto"/>
        <w:left w:val="none" w:sz="0" w:space="0" w:color="auto"/>
        <w:bottom w:val="none" w:sz="0" w:space="0" w:color="auto"/>
        <w:right w:val="none" w:sz="0" w:space="0" w:color="auto"/>
      </w:divBdr>
    </w:div>
    <w:div w:id="1086390385">
      <w:bodyDiv w:val="1"/>
      <w:marLeft w:val="0"/>
      <w:marRight w:val="0"/>
      <w:marTop w:val="0"/>
      <w:marBottom w:val="0"/>
      <w:divBdr>
        <w:top w:val="none" w:sz="0" w:space="0" w:color="auto"/>
        <w:left w:val="none" w:sz="0" w:space="0" w:color="auto"/>
        <w:bottom w:val="none" w:sz="0" w:space="0" w:color="auto"/>
        <w:right w:val="none" w:sz="0" w:space="0" w:color="auto"/>
      </w:divBdr>
      <w:divsChild>
        <w:div w:id="510950321">
          <w:marLeft w:val="0"/>
          <w:marRight w:val="0"/>
          <w:marTop w:val="0"/>
          <w:marBottom w:val="0"/>
          <w:divBdr>
            <w:top w:val="none" w:sz="0" w:space="0" w:color="auto"/>
            <w:left w:val="none" w:sz="0" w:space="0" w:color="auto"/>
            <w:bottom w:val="none" w:sz="0" w:space="0" w:color="auto"/>
            <w:right w:val="none" w:sz="0" w:space="0" w:color="auto"/>
          </w:divBdr>
        </w:div>
        <w:div w:id="1386489437">
          <w:marLeft w:val="0"/>
          <w:marRight w:val="0"/>
          <w:marTop w:val="0"/>
          <w:marBottom w:val="0"/>
          <w:divBdr>
            <w:top w:val="none" w:sz="0" w:space="0" w:color="auto"/>
            <w:left w:val="none" w:sz="0" w:space="0" w:color="auto"/>
            <w:bottom w:val="none" w:sz="0" w:space="0" w:color="auto"/>
            <w:right w:val="none" w:sz="0" w:space="0" w:color="auto"/>
          </w:divBdr>
        </w:div>
      </w:divsChild>
    </w:div>
    <w:div w:id="1091122463">
      <w:bodyDiv w:val="1"/>
      <w:marLeft w:val="0"/>
      <w:marRight w:val="0"/>
      <w:marTop w:val="0"/>
      <w:marBottom w:val="0"/>
      <w:divBdr>
        <w:top w:val="none" w:sz="0" w:space="0" w:color="auto"/>
        <w:left w:val="none" w:sz="0" w:space="0" w:color="auto"/>
        <w:bottom w:val="none" w:sz="0" w:space="0" w:color="auto"/>
        <w:right w:val="none" w:sz="0" w:space="0" w:color="auto"/>
      </w:divBdr>
    </w:div>
    <w:div w:id="1104106950">
      <w:bodyDiv w:val="1"/>
      <w:marLeft w:val="0"/>
      <w:marRight w:val="0"/>
      <w:marTop w:val="0"/>
      <w:marBottom w:val="0"/>
      <w:divBdr>
        <w:top w:val="none" w:sz="0" w:space="0" w:color="auto"/>
        <w:left w:val="none" w:sz="0" w:space="0" w:color="auto"/>
        <w:bottom w:val="none" w:sz="0" w:space="0" w:color="auto"/>
        <w:right w:val="none" w:sz="0" w:space="0" w:color="auto"/>
      </w:divBdr>
      <w:divsChild>
        <w:div w:id="537622677">
          <w:marLeft w:val="0"/>
          <w:marRight w:val="0"/>
          <w:marTop w:val="450"/>
          <w:marBottom w:val="0"/>
          <w:divBdr>
            <w:top w:val="none" w:sz="0" w:space="0" w:color="auto"/>
            <w:left w:val="none" w:sz="0" w:space="0" w:color="auto"/>
            <w:bottom w:val="none" w:sz="0" w:space="0" w:color="auto"/>
            <w:right w:val="none" w:sz="0" w:space="0" w:color="auto"/>
          </w:divBdr>
          <w:divsChild>
            <w:div w:id="1353649530">
              <w:marLeft w:val="0"/>
              <w:marRight w:val="0"/>
              <w:marTop w:val="0"/>
              <w:marBottom w:val="0"/>
              <w:divBdr>
                <w:top w:val="none" w:sz="0" w:space="0" w:color="auto"/>
                <w:left w:val="none" w:sz="0" w:space="0" w:color="auto"/>
                <w:bottom w:val="none" w:sz="0" w:space="0" w:color="auto"/>
                <w:right w:val="none" w:sz="0" w:space="0" w:color="auto"/>
              </w:divBdr>
              <w:divsChild>
                <w:div w:id="155805215">
                  <w:marLeft w:val="0"/>
                  <w:marRight w:val="0"/>
                  <w:marTop w:val="0"/>
                  <w:marBottom w:val="0"/>
                  <w:divBdr>
                    <w:top w:val="none" w:sz="0" w:space="0" w:color="auto"/>
                    <w:left w:val="none" w:sz="0" w:space="0" w:color="auto"/>
                    <w:bottom w:val="none" w:sz="0" w:space="0" w:color="auto"/>
                    <w:right w:val="none" w:sz="0" w:space="0" w:color="auto"/>
                  </w:divBdr>
                  <w:divsChild>
                    <w:div w:id="5935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08431">
          <w:marLeft w:val="0"/>
          <w:marRight w:val="0"/>
          <w:marTop w:val="450"/>
          <w:marBottom w:val="0"/>
          <w:divBdr>
            <w:top w:val="none" w:sz="0" w:space="0" w:color="auto"/>
            <w:left w:val="none" w:sz="0" w:space="0" w:color="auto"/>
            <w:bottom w:val="none" w:sz="0" w:space="0" w:color="auto"/>
            <w:right w:val="none" w:sz="0" w:space="0" w:color="auto"/>
          </w:divBdr>
        </w:div>
      </w:divsChild>
    </w:div>
    <w:div w:id="1182621467">
      <w:bodyDiv w:val="1"/>
      <w:marLeft w:val="0"/>
      <w:marRight w:val="0"/>
      <w:marTop w:val="0"/>
      <w:marBottom w:val="0"/>
      <w:divBdr>
        <w:top w:val="none" w:sz="0" w:space="0" w:color="auto"/>
        <w:left w:val="none" w:sz="0" w:space="0" w:color="auto"/>
        <w:bottom w:val="none" w:sz="0" w:space="0" w:color="auto"/>
        <w:right w:val="none" w:sz="0" w:space="0" w:color="auto"/>
      </w:divBdr>
    </w:div>
    <w:div w:id="1189873229">
      <w:bodyDiv w:val="1"/>
      <w:marLeft w:val="0"/>
      <w:marRight w:val="0"/>
      <w:marTop w:val="0"/>
      <w:marBottom w:val="0"/>
      <w:divBdr>
        <w:top w:val="none" w:sz="0" w:space="0" w:color="auto"/>
        <w:left w:val="none" w:sz="0" w:space="0" w:color="auto"/>
        <w:bottom w:val="none" w:sz="0" w:space="0" w:color="auto"/>
        <w:right w:val="none" w:sz="0" w:space="0" w:color="auto"/>
      </w:divBdr>
    </w:div>
    <w:div w:id="1290471082">
      <w:bodyDiv w:val="1"/>
      <w:marLeft w:val="0"/>
      <w:marRight w:val="0"/>
      <w:marTop w:val="0"/>
      <w:marBottom w:val="0"/>
      <w:divBdr>
        <w:top w:val="none" w:sz="0" w:space="0" w:color="auto"/>
        <w:left w:val="none" w:sz="0" w:space="0" w:color="auto"/>
        <w:bottom w:val="none" w:sz="0" w:space="0" w:color="auto"/>
        <w:right w:val="none" w:sz="0" w:space="0" w:color="auto"/>
      </w:divBdr>
    </w:div>
    <w:div w:id="1308243495">
      <w:bodyDiv w:val="1"/>
      <w:marLeft w:val="0"/>
      <w:marRight w:val="0"/>
      <w:marTop w:val="0"/>
      <w:marBottom w:val="0"/>
      <w:divBdr>
        <w:top w:val="none" w:sz="0" w:space="0" w:color="auto"/>
        <w:left w:val="none" w:sz="0" w:space="0" w:color="auto"/>
        <w:bottom w:val="none" w:sz="0" w:space="0" w:color="auto"/>
        <w:right w:val="none" w:sz="0" w:space="0" w:color="auto"/>
      </w:divBdr>
    </w:div>
    <w:div w:id="1359622578">
      <w:bodyDiv w:val="1"/>
      <w:marLeft w:val="0"/>
      <w:marRight w:val="0"/>
      <w:marTop w:val="0"/>
      <w:marBottom w:val="0"/>
      <w:divBdr>
        <w:top w:val="none" w:sz="0" w:space="0" w:color="auto"/>
        <w:left w:val="none" w:sz="0" w:space="0" w:color="auto"/>
        <w:bottom w:val="none" w:sz="0" w:space="0" w:color="auto"/>
        <w:right w:val="none" w:sz="0" w:space="0" w:color="auto"/>
      </w:divBdr>
    </w:div>
    <w:div w:id="1490751879">
      <w:bodyDiv w:val="1"/>
      <w:marLeft w:val="0"/>
      <w:marRight w:val="0"/>
      <w:marTop w:val="0"/>
      <w:marBottom w:val="0"/>
      <w:divBdr>
        <w:top w:val="none" w:sz="0" w:space="0" w:color="auto"/>
        <w:left w:val="none" w:sz="0" w:space="0" w:color="auto"/>
        <w:bottom w:val="none" w:sz="0" w:space="0" w:color="auto"/>
        <w:right w:val="none" w:sz="0" w:space="0" w:color="auto"/>
      </w:divBdr>
    </w:div>
    <w:div w:id="1504978453">
      <w:bodyDiv w:val="1"/>
      <w:marLeft w:val="0"/>
      <w:marRight w:val="0"/>
      <w:marTop w:val="0"/>
      <w:marBottom w:val="0"/>
      <w:divBdr>
        <w:top w:val="none" w:sz="0" w:space="0" w:color="auto"/>
        <w:left w:val="none" w:sz="0" w:space="0" w:color="auto"/>
        <w:bottom w:val="none" w:sz="0" w:space="0" w:color="auto"/>
        <w:right w:val="none" w:sz="0" w:space="0" w:color="auto"/>
      </w:divBdr>
    </w:div>
    <w:div w:id="1523546826">
      <w:bodyDiv w:val="1"/>
      <w:marLeft w:val="0"/>
      <w:marRight w:val="0"/>
      <w:marTop w:val="0"/>
      <w:marBottom w:val="0"/>
      <w:divBdr>
        <w:top w:val="none" w:sz="0" w:space="0" w:color="auto"/>
        <w:left w:val="none" w:sz="0" w:space="0" w:color="auto"/>
        <w:bottom w:val="none" w:sz="0" w:space="0" w:color="auto"/>
        <w:right w:val="none" w:sz="0" w:space="0" w:color="auto"/>
      </w:divBdr>
    </w:div>
    <w:div w:id="1532035874">
      <w:bodyDiv w:val="1"/>
      <w:marLeft w:val="0"/>
      <w:marRight w:val="0"/>
      <w:marTop w:val="0"/>
      <w:marBottom w:val="0"/>
      <w:divBdr>
        <w:top w:val="none" w:sz="0" w:space="0" w:color="auto"/>
        <w:left w:val="none" w:sz="0" w:space="0" w:color="auto"/>
        <w:bottom w:val="none" w:sz="0" w:space="0" w:color="auto"/>
        <w:right w:val="none" w:sz="0" w:space="0" w:color="auto"/>
      </w:divBdr>
    </w:div>
    <w:div w:id="1553031689">
      <w:bodyDiv w:val="1"/>
      <w:marLeft w:val="0"/>
      <w:marRight w:val="0"/>
      <w:marTop w:val="0"/>
      <w:marBottom w:val="0"/>
      <w:divBdr>
        <w:top w:val="none" w:sz="0" w:space="0" w:color="auto"/>
        <w:left w:val="none" w:sz="0" w:space="0" w:color="auto"/>
        <w:bottom w:val="none" w:sz="0" w:space="0" w:color="auto"/>
        <w:right w:val="none" w:sz="0" w:space="0" w:color="auto"/>
      </w:divBdr>
    </w:div>
    <w:div w:id="1640452152">
      <w:bodyDiv w:val="1"/>
      <w:marLeft w:val="0"/>
      <w:marRight w:val="0"/>
      <w:marTop w:val="0"/>
      <w:marBottom w:val="0"/>
      <w:divBdr>
        <w:top w:val="none" w:sz="0" w:space="0" w:color="auto"/>
        <w:left w:val="none" w:sz="0" w:space="0" w:color="auto"/>
        <w:bottom w:val="none" w:sz="0" w:space="0" w:color="auto"/>
        <w:right w:val="none" w:sz="0" w:space="0" w:color="auto"/>
      </w:divBdr>
    </w:div>
    <w:div w:id="1664122198">
      <w:bodyDiv w:val="1"/>
      <w:marLeft w:val="0"/>
      <w:marRight w:val="0"/>
      <w:marTop w:val="0"/>
      <w:marBottom w:val="0"/>
      <w:divBdr>
        <w:top w:val="none" w:sz="0" w:space="0" w:color="auto"/>
        <w:left w:val="none" w:sz="0" w:space="0" w:color="auto"/>
        <w:bottom w:val="none" w:sz="0" w:space="0" w:color="auto"/>
        <w:right w:val="none" w:sz="0" w:space="0" w:color="auto"/>
      </w:divBdr>
    </w:div>
    <w:div w:id="1692798732">
      <w:bodyDiv w:val="1"/>
      <w:marLeft w:val="0"/>
      <w:marRight w:val="0"/>
      <w:marTop w:val="0"/>
      <w:marBottom w:val="0"/>
      <w:divBdr>
        <w:top w:val="none" w:sz="0" w:space="0" w:color="auto"/>
        <w:left w:val="none" w:sz="0" w:space="0" w:color="auto"/>
        <w:bottom w:val="none" w:sz="0" w:space="0" w:color="auto"/>
        <w:right w:val="none" w:sz="0" w:space="0" w:color="auto"/>
      </w:divBdr>
    </w:div>
    <w:div w:id="1707481033">
      <w:bodyDiv w:val="1"/>
      <w:marLeft w:val="0"/>
      <w:marRight w:val="0"/>
      <w:marTop w:val="0"/>
      <w:marBottom w:val="0"/>
      <w:divBdr>
        <w:top w:val="none" w:sz="0" w:space="0" w:color="auto"/>
        <w:left w:val="none" w:sz="0" w:space="0" w:color="auto"/>
        <w:bottom w:val="none" w:sz="0" w:space="0" w:color="auto"/>
        <w:right w:val="none" w:sz="0" w:space="0" w:color="auto"/>
      </w:divBdr>
      <w:divsChild>
        <w:div w:id="429476758">
          <w:marLeft w:val="0"/>
          <w:marRight w:val="0"/>
          <w:marTop w:val="0"/>
          <w:marBottom w:val="0"/>
          <w:divBdr>
            <w:top w:val="none" w:sz="0" w:space="0" w:color="auto"/>
            <w:left w:val="none" w:sz="0" w:space="0" w:color="auto"/>
            <w:bottom w:val="none" w:sz="0" w:space="0" w:color="auto"/>
            <w:right w:val="none" w:sz="0" w:space="0" w:color="auto"/>
          </w:divBdr>
        </w:div>
        <w:div w:id="1314724762">
          <w:marLeft w:val="0"/>
          <w:marRight w:val="0"/>
          <w:marTop w:val="0"/>
          <w:marBottom w:val="0"/>
          <w:divBdr>
            <w:top w:val="none" w:sz="0" w:space="0" w:color="auto"/>
            <w:left w:val="none" w:sz="0" w:space="0" w:color="auto"/>
            <w:bottom w:val="none" w:sz="0" w:space="0" w:color="auto"/>
            <w:right w:val="none" w:sz="0" w:space="0" w:color="auto"/>
          </w:divBdr>
        </w:div>
      </w:divsChild>
    </w:div>
    <w:div w:id="1710761570">
      <w:bodyDiv w:val="1"/>
      <w:marLeft w:val="0"/>
      <w:marRight w:val="0"/>
      <w:marTop w:val="0"/>
      <w:marBottom w:val="0"/>
      <w:divBdr>
        <w:top w:val="none" w:sz="0" w:space="0" w:color="auto"/>
        <w:left w:val="none" w:sz="0" w:space="0" w:color="auto"/>
        <w:bottom w:val="none" w:sz="0" w:space="0" w:color="auto"/>
        <w:right w:val="none" w:sz="0" w:space="0" w:color="auto"/>
      </w:divBdr>
    </w:div>
    <w:div w:id="1727990656">
      <w:bodyDiv w:val="1"/>
      <w:marLeft w:val="0"/>
      <w:marRight w:val="0"/>
      <w:marTop w:val="0"/>
      <w:marBottom w:val="0"/>
      <w:divBdr>
        <w:top w:val="none" w:sz="0" w:space="0" w:color="auto"/>
        <w:left w:val="none" w:sz="0" w:space="0" w:color="auto"/>
        <w:bottom w:val="none" w:sz="0" w:space="0" w:color="auto"/>
        <w:right w:val="none" w:sz="0" w:space="0" w:color="auto"/>
      </w:divBdr>
    </w:div>
    <w:div w:id="1780640516">
      <w:bodyDiv w:val="1"/>
      <w:marLeft w:val="0"/>
      <w:marRight w:val="0"/>
      <w:marTop w:val="0"/>
      <w:marBottom w:val="0"/>
      <w:divBdr>
        <w:top w:val="none" w:sz="0" w:space="0" w:color="auto"/>
        <w:left w:val="none" w:sz="0" w:space="0" w:color="auto"/>
        <w:bottom w:val="none" w:sz="0" w:space="0" w:color="auto"/>
        <w:right w:val="none" w:sz="0" w:space="0" w:color="auto"/>
      </w:divBdr>
      <w:divsChild>
        <w:div w:id="191384394">
          <w:marLeft w:val="0"/>
          <w:marRight w:val="0"/>
          <w:marTop w:val="0"/>
          <w:marBottom w:val="300"/>
          <w:divBdr>
            <w:top w:val="none" w:sz="0" w:space="0" w:color="auto"/>
            <w:left w:val="none" w:sz="0" w:space="0" w:color="auto"/>
            <w:bottom w:val="none" w:sz="0" w:space="0" w:color="auto"/>
            <w:right w:val="none" w:sz="0" w:space="0" w:color="auto"/>
          </w:divBdr>
        </w:div>
      </w:divsChild>
    </w:div>
    <w:div w:id="1819300074">
      <w:bodyDiv w:val="1"/>
      <w:marLeft w:val="0"/>
      <w:marRight w:val="0"/>
      <w:marTop w:val="0"/>
      <w:marBottom w:val="0"/>
      <w:divBdr>
        <w:top w:val="none" w:sz="0" w:space="0" w:color="auto"/>
        <w:left w:val="none" w:sz="0" w:space="0" w:color="auto"/>
        <w:bottom w:val="none" w:sz="0" w:space="0" w:color="auto"/>
        <w:right w:val="none" w:sz="0" w:space="0" w:color="auto"/>
      </w:divBdr>
    </w:div>
    <w:div w:id="1861891061">
      <w:bodyDiv w:val="1"/>
      <w:marLeft w:val="0"/>
      <w:marRight w:val="0"/>
      <w:marTop w:val="0"/>
      <w:marBottom w:val="0"/>
      <w:divBdr>
        <w:top w:val="none" w:sz="0" w:space="0" w:color="auto"/>
        <w:left w:val="none" w:sz="0" w:space="0" w:color="auto"/>
        <w:bottom w:val="none" w:sz="0" w:space="0" w:color="auto"/>
        <w:right w:val="none" w:sz="0" w:space="0" w:color="auto"/>
      </w:divBdr>
      <w:divsChild>
        <w:div w:id="883830203">
          <w:marLeft w:val="0"/>
          <w:marRight w:val="0"/>
          <w:marTop w:val="450"/>
          <w:marBottom w:val="0"/>
          <w:divBdr>
            <w:top w:val="none" w:sz="0" w:space="0" w:color="auto"/>
            <w:left w:val="none" w:sz="0" w:space="0" w:color="auto"/>
            <w:bottom w:val="none" w:sz="0" w:space="0" w:color="auto"/>
            <w:right w:val="none" w:sz="0" w:space="0" w:color="auto"/>
          </w:divBdr>
          <w:divsChild>
            <w:div w:id="477264262">
              <w:marLeft w:val="0"/>
              <w:marRight w:val="0"/>
              <w:marTop w:val="0"/>
              <w:marBottom w:val="0"/>
              <w:divBdr>
                <w:top w:val="none" w:sz="0" w:space="0" w:color="auto"/>
                <w:left w:val="none" w:sz="0" w:space="0" w:color="auto"/>
                <w:bottom w:val="none" w:sz="0" w:space="0" w:color="auto"/>
                <w:right w:val="none" w:sz="0" w:space="0" w:color="auto"/>
              </w:divBdr>
              <w:divsChild>
                <w:div w:id="112864777">
                  <w:marLeft w:val="0"/>
                  <w:marRight w:val="0"/>
                  <w:marTop w:val="0"/>
                  <w:marBottom w:val="0"/>
                  <w:divBdr>
                    <w:top w:val="none" w:sz="0" w:space="0" w:color="auto"/>
                    <w:left w:val="none" w:sz="0" w:space="0" w:color="auto"/>
                    <w:bottom w:val="none" w:sz="0" w:space="0" w:color="auto"/>
                    <w:right w:val="none" w:sz="0" w:space="0" w:color="auto"/>
                  </w:divBdr>
                  <w:divsChild>
                    <w:div w:id="5770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6681">
          <w:marLeft w:val="0"/>
          <w:marRight w:val="0"/>
          <w:marTop w:val="450"/>
          <w:marBottom w:val="0"/>
          <w:divBdr>
            <w:top w:val="none" w:sz="0" w:space="0" w:color="auto"/>
            <w:left w:val="none" w:sz="0" w:space="0" w:color="auto"/>
            <w:bottom w:val="none" w:sz="0" w:space="0" w:color="auto"/>
            <w:right w:val="none" w:sz="0" w:space="0" w:color="auto"/>
          </w:divBdr>
        </w:div>
      </w:divsChild>
    </w:div>
    <w:div w:id="1900555910">
      <w:bodyDiv w:val="1"/>
      <w:marLeft w:val="0"/>
      <w:marRight w:val="0"/>
      <w:marTop w:val="0"/>
      <w:marBottom w:val="0"/>
      <w:divBdr>
        <w:top w:val="none" w:sz="0" w:space="0" w:color="auto"/>
        <w:left w:val="none" w:sz="0" w:space="0" w:color="auto"/>
        <w:bottom w:val="none" w:sz="0" w:space="0" w:color="auto"/>
        <w:right w:val="none" w:sz="0" w:space="0" w:color="auto"/>
      </w:divBdr>
    </w:div>
    <w:div w:id="1902324336">
      <w:bodyDiv w:val="1"/>
      <w:marLeft w:val="0"/>
      <w:marRight w:val="0"/>
      <w:marTop w:val="0"/>
      <w:marBottom w:val="0"/>
      <w:divBdr>
        <w:top w:val="none" w:sz="0" w:space="0" w:color="auto"/>
        <w:left w:val="none" w:sz="0" w:space="0" w:color="auto"/>
        <w:bottom w:val="none" w:sz="0" w:space="0" w:color="auto"/>
        <w:right w:val="none" w:sz="0" w:space="0" w:color="auto"/>
      </w:divBdr>
      <w:divsChild>
        <w:div w:id="1218711733">
          <w:marLeft w:val="0"/>
          <w:marRight w:val="0"/>
          <w:marTop w:val="0"/>
          <w:marBottom w:val="300"/>
          <w:divBdr>
            <w:top w:val="none" w:sz="0" w:space="0" w:color="auto"/>
            <w:left w:val="none" w:sz="0" w:space="0" w:color="auto"/>
            <w:bottom w:val="none" w:sz="0" w:space="0" w:color="auto"/>
            <w:right w:val="none" w:sz="0" w:space="0" w:color="auto"/>
          </w:divBdr>
        </w:div>
      </w:divsChild>
    </w:div>
    <w:div w:id="1913201261">
      <w:bodyDiv w:val="1"/>
      <w:marLeft w:val="0"/>
      <w:marRight w:val="0"/>
      <w:marTop w:val="0"/>
      <w:marBottom w:val="0"/>
      <w:divBdr>
        <w:top w:val="none" w:sz="0" w:space="0" w:color="auto"/>
        <w:left w:val="none" w:sz="0" w:space="0" w:color="auto"/>
        <w:bottom w:val="none" w:sz="0" w:space="0" w:color="auto"/>
        <w:right w:val="none" w:sz="0" w:space="0" w:color="auto"/>
      </w:divBdr>
      <w:divsChild>
        <w:div w:id="729576570">
          <w:marLeft w:val="0"/>
          <w:marRight w:val="0"/>
          <w:marTop w:val="0"/>
          <w:marBottom w:val="0"/>
          <w:divBdr>
            <w:top w:val="none" w:sz="0" w:space="0" w:color="auto"/>
            <w:left w:val="none" w:sz="0" w:space="0" w:color="auto"/>
            <w:bottom w:val="none" w:sz="0" w:space="0" w:color="auto"/>
            <w:right w:val="none" w:sz="0" w:space="0" w:color="auto"/>
          </w:divBdr>
          <w:divsChild>
            <w:div w:id="1173646408">
              <w:marLeft w:val="0"/>
              <w:marRight w:val="0"/>
              <w:marTop w:val="0"/>
              <w:marBottom w:val="0"/>
              <w:divBdr>
                <w:top w:val="none" w:sz="0" w:space="0" w:color="auto"/>
                <w:left w:val="none" w:sz="0" w:space="0" w:color="auto"/>
                <w:bottom w:val="none" w:sz="0" w:space="0" w:color="auto"/>
                <w:right w:val="none" w:sz="0" w:space="0" w:color="auto"/>
              </w:divBdr>
              <w:divsChild>
                <w:div w:id="1852261432">
                  <w:marLeft w:val="0"/>
                  <w:marRight w:val="0"/>
                  <w:marTop w:val="0"/>
                  <w:marBottom w:val="0"/>
                  <w:divBdr>
                    <w:top w:val="single" w:sz="6" w:space="0" w:color="CCCCCC"/>
                    <w:left w:val="single" w:sz="6" w:space="0" w:color="CCCCCC"/>
                    <w:bottom w:val="single" w:sz="6" w:space="0" w:color="CCCCCC"/>
                    <w:right w:val="single" w:sz="6" w:space="0" w:color="CCCCCC"/>
                  </w:divBdr>
                  <w:divsChild>
                    <w:div w:id="1914267235">
                      <w:marLeft w:val="0"/>
                      <w:marRight w:val="0"/>
                      <w:marTop w:val="0"/>
                      <w:marBottom w:val="0"/>
                      <w:divBdr>
                        <w:top w:val="none" w:sz="0" w:space="0" w:color="auto"/>
                        <w:left w:val="none" w:sz="0" w:space="0" w:color="auto"/>
                        <w:bottom w:val="none" w:sz="0" w:space="0" w:color="auto"/>
                        <w:right w:val="none" w:sz="0" w:space="0" w:color="auto"/>
                      </w:divBdr>
                    </w:div>
                    <w:div w:id="2038844006">
                      <w:marLeft w:val="0"/>
                      <w:marRight w:val="0"/>
                      <w:marTop w:val="0"/>
                      <w:marBottom w:val="0"/>
                      <w:divBdr>
                        <w:top w:val="none" w:sz="0" w:space="0" w:color="auto"/>
                        <w:left w:val="none" w:sz="0" w:space="0" w:color="auto"/>
                        <w:bottom w:val="none" w:sz="0" w:space="0" w:color="auto"/>
                        <w:right w:val="none" w:sz="0" w:space="0" w:color="auto"/>
                      </w:divBdr>
                    </w:div>
                    <w:div w:id="1678581405">
                      <w:marLeft w:val="0"/>
                      <w:marRight w:val="0"/>
                      <w:marTop w:val="0"/>
                      <w:marBottom w:val="0"/>
                      <w:divBdr>
                        <w:top w:val="none" w:sz="0" w:space="0" w:color="auto"/>
                        <w:left w:val="none" w:sz="0" w:space="0" w:color="auto"/>
                        <w:bottom w:val="none" w:sz="0" w:space="0" w:color="auto"/>
                        <w:right w:val="none" w:sz="0" w:space="0" w:color="auto"/>
                      </w:divBdr>
                      <w:divsChild>
                        <w:div w:id="37630404">
                          <w:marLeft w:val="0"/>
                          <w:marRight w:val="0"/>
                          <w:marTop w:val="0"/>
                          <w:marBottom w:val="0"/>
                          <w:divBdr>
                            <w:top w:val="none" w:sz="0" w:space="0" w:color="auto"/>
                            <w:left w:val="none" w:sz="0" w:space="0" w:color="auto"/>
                            <w:bottom w:val="none" w:sz="0" w:space="0" w:color="auto"/>
                            <w:right w:val="none" w:sz="0" w:space="0" w:color="auto"/>
                          </w:divBdr>
                          <w:divsChild>
                            <w:div w:id="273023793">
                              <w:marLeft w:val="0"/>
                              <w:marRight w:val="0"/>
                              <w:marTop w:val="0"/>
                              <w:marBottom w:val="0"/>
                              <w:divBdr>
                                <w:top w:val="none" w:sz="0" w:space="0" w:color="auto"/>
                                <w:left w:val="none" w:sz="0" w:space="0" w:color="auto"/>
                                <w:bottom w:val="none" w:sz="0" w:space="0" w:color="auto"/>
                                <w:right w:val="none" w:sz="0" w:space="0" w:color="auto"/>
                              </w:divBdr>
                              <w:divsChild>
                                <w:div w:id="241377563">
                                  <w:marLeft w:val="0"/>
                                  <w:marRight w:val="0"/>
                                  <w:marTop w:val="0"/>
                                  <w:marBottom w:val="0"/>
                                  <w:divBdr>
                                    <w:top w:val="none" w:sz="0" w:space="0" w:color="auto"/>
                                    <w:left w:val="none" w:sz="0" w:space="0" w:color="auto"/>
                                    <w:bottom w:val="none" w:sz="0" w:space="0" w:color="auto"/>
                                    <w:right w:val="none" w:sz="0" w:space="0" w:color="auto"/>
                                  </w:divBdr>
                                  <w:divsChild>
                                    <w:div w:id="1641688778">
                                      <w:marLeft w:val="0"/>
                                      <w:marRight w:val="0"/>
                                      <w:marTop w:val="0"/>
                                      <w:marBottom w:val="60"/>
                                      <w:divBdr>
                                        <w:top w:val="none" w:sz="0" w:space="0" w:color="auto"/>
                                        <w:left w:val="none" w:sz="0" w:space="0" w:color="auto"/>
                                        <w:bottom w:val="none" w:sz="0" w:space="0" w:color="auto"/>
                                        <w:right w:val="none" w:sz="0" w:space="0" w:color="auto"/>
                                      </w:divBdr>
                                      <w:divsChild>
                                        <w:div w:id="1283994216">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 w:id="47920895">
                          <w:marLeft w:val="0"/>
                          <w:marRight w:val="0"/>
                          <w:marTop w:val="0"/>
                          <w:marBottom w:val="0"/>
                          <w:divBdr>
                            <w:top w:val="none" w:sz="0" w:space="0" w:color="auto"/>
                            <w:left w:val="none" w:sz="0" w:space="0" w:color="auto"/>
                            <w:bottom w:val="none" w:sz="0" w:space="0" w:color="auto"/>
                            <w:right w:val="none" w:sz="0" w:space="0" w:color="auto"/>
                          </w:divBdr>
                          <w:divsChild>
                            <w:div w:id="1216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90870">
      <w:bodyDiv w:val="1"/>
      <w:marLeft w:val="0"/>
      <w:marRight w:val="0"/>
      <w:marTop w:val="0"/>
      <w:marBottom w:val="0"/>
      <w:divBdr>
        <w:top w:val="none" w:sz="0" w:space="0" w:color="auto"/>
        <w:left w:val="none" w:sz="0" w:space="0" w:color="auto"/>
        <w:bottom w:val="none" w:sz="0" w:space="0" w:color="auto"/>
        <w:right w:val="none" w:sz="0" w:space="0" w:color="auto"/>
      </w:divBdr>
    </w:div>
    <w:div w:id="1997873089">
      <w:bodyDiv w:val="1"/>
      <w:marLeft w:val="0"/>
      <w:marRight w:val="0"/>
      <w:marTop w:val="0"/>
      <w:marBottom w:val="0"/>
      <w:divBdr>
        <w:top w:val="none" w:sz="0" w:space="0" w:color="auto"/>
        <w:left w:val="none" w:sz="0" w:space="0" w:color="auto"/>
        <w:bottom w:val="none" w:sz="0" w:space="0" w:color="auto"/>
        <w:right w:val="none" w:sz="0" w:space="0" w:color="auto"/>
      </w:divBdr>
    </w:div>
    <w:div w:id="2022312458">
      <w:bodyDiv w:val="1"/>
      <w:marLeft w:val="0"/>
      <w:marRight w:val="0"/>
      <w:marTop w:val="0"/>
      <w:marBottom w:val="0"/>
      <w:divBdr>
        <w:top w:val="none" w:sz="0" w:space="0" w:color="auto"/>
        <w:left w:val="none" w:sz="0" w:space="0" w:color="auto"/>
        <w:bottom w:val="none" w:sz="0" w:space="0" w:color="auto"/>
        <w:right w:val="none" w:sz="0" w:space="0" w:color="auto"/>
      </w:divBdr>
    </w:div>
    <w:div w:id="2059280758">
      <w:bodyDiv w:val="1"/>
      <w:marLeft w:val="0"/>
      <w:marRight w:val="0"/>
      <w:marTop w:val="0"/>
      <w:marBottom w:val="0"/>
      <w:divBdr>
        <w:top w:val="none" w:sz="0" w:space="0" w:color="auto"/>
        <w:left w:val="none" w:sz="0" w:space="0" w:color="auto"/>
        <w:bottom w:val="none" w:sz="0" w:space="0" w:color="auto"/>
        <w:right w:val="none" w:sz="0" w:space="0" w:color="auto"/>
      </w:divBdr>
    </w:div>
    <w:div w:id="214134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1859-B1B0-4657-8EC0-B78E09BA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1499</Words>
  <Characters>8098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Fabiana Paranhos</dc:creator>
  <cp:lastModifiedBy>Financeiro</cp:lastModifiedBy>
  <cp:revision>4</cp:revision>
  <cp:lastPrinted>2022-02-22T14:45:00Z</cp:lastPrinted>
  <dcterms:created xsi:type="dcterms:W3CDTF">2022-05-17T21:01:00Z</dcterms:created>
  <dcterms:modified xsi:type="dcterms:W3CDTF">2022-05-17T21:26:00Z</dcterms:modified>
</cp:coreProperties>
</file>